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B8" w:rsidRDefault="006F49B8" w:rsidP="006F49B8">
      <w:pPr>
        <w:pStyle w:val="Titolo1"/>
        <w:spacing w:line="240" w:lineRule="auto"/>
        <w:ind w:left="2832"/>
        <w:jc w:val="left"/>
        <w:rPr>
          <w:rFonts w:ascii="Calibri" w:hAnsi="Calibri" w:cs="Calibri"/>
          <w:caps w:val="0"/>
          <w:sz w:val="72"/>
          <w:szCs w:val="72"/>
          <w:u w:val="single"/>
        </w:rPr>
      </w:pPr>
    </w:p>
    <w:p w:rsidR="006F49B8" w:rsidRDefault="005C6885" w:rsidP="003A1756">
      <w:pPr>
        <w:pStyle w:val="Titolo1"/>
        <w:spacing w:line="240" w:lineRule="auto"/>
        <w:ind w:left="851"/>
        <w:jc w:val="left"/>
        <w:rPr>
          <w:rFonts w:ascii="Calibri" w:hAnsi="Calibri" w:cs="Calibri"/>
          <w:sz w:val="72"/>
          <w:szCs w:val="72"/>
          <w:u w:val="single"/>
        </w:rPr>
      </w:pPr>
      <w:r>
        <w:rPr>
          <w:noProof/>
        </w:rPr>
        <w:drawing>
          <wp:inline distT="0" distB="0" distL="0" distR="0">
            <wp:extent cx="842613" cy="1227600"/>
            <wp:effectExtent l="19050" t="0" r="0" b="0"/>
            <wp:docPr id="2" name="Immagine 2" descr="Risultati immagini per BERZO DEMO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BERZO DEMO stemma"/>
                    <pic:cNvPicPr>
                      <a:picLocks noChangeAspect="1" noChangeArrowheads="1"/>
                    </pic:cNvPicPr>
                  </pic:nvPicPr>
                  <pic:blipFill>
                    <a:blip r:embed="rId8" cstate="print"/>
                    <a:srcRect/>
                    <a:stretch>
                      <a:fillRect/>
                    </a:stretch>
                  </pic:blipFill>
                  <pic:spPr bwMode="auto">
                    <a:xfrm>
                      <a:off x="0" y="0"/>
                      <a:ext cx="842613" cy="1227600"/>
                    </a:xfrm>
                    <a:prstGeom prst="rect">
                      <a:avLst/>
                    </a:prstGeom>
                    <a:noFill/>
                    <a:ln w="9525">
                      <a:noFill/>
                      <a:miter lim="800000"/>
                      <a:headEnd/>
                      <a:tailEnd/>
                    </a:ln>
                  </pic:spPr>
                </pic:pic>
              </a:graphicData>
            </a:graphic>
          </wp:inline>
        </w:drawing>
      </w:r>
      <w:r w:rsidR="00A14E35" w:rsidRPr="00A14E35">
        <w:rPr>
          <w:rFonts w:ascii="Calibri" w:hAnsi="Calibri" w:cs="Calibri"/>
          <w:caps w:val="0"/>
          <w:sz w:val="72"/>
          <w:szCs w:val="72"/>
        </w:rPr>
        <w:tab/>
      </w:r>
      <w:r w:rsidR="00A14E35" w:rsidRPr="00A14E35">
        <w:rPr>
          <w:rFonts w:ascii="Calibri" w:hAnsi="Calibri" w:cs="Calibri"/>
          <w:caps w:val="0"/>
          <w:sz w:val="72"/>
          <w:szCs w:val="72"/>
        </w:rPr>
        <w:tab/>
      </w:r>
      <w:r w:rsidR="006F49B8" w:rsidRPr="001C3BF2">
        <w:rPr>
          <w:rFonts w:ascii="Calibri" w:hAnsi="Calibri" w:cs="Calibri"/>
          <w:caps w:val="0"/>
          <w:sz w:val="72"/>
          <w:szCs w:val="72"/>
          <w:u w:val="single"/>
        </w:rPr>
        <w:t xml:space="preserve">Comune Di </w:t>
      </w:r>
      <w:r w:rsidR="008C1E5A">
        <w:rPr>
          <w:rFonts w:ascii="Calibri" w:hAnsi="Calibri" w:cs="Calibri"/>
          <w:caps w:val="0"/>
          <w:sz w:val="72"/>
          <w:szCs w:val="72"/>
          <w:u w:val="single"/>
        </w:rPr>
        <w:t>Berzo Demo</w:t>
      </w:r>
    </w:p>
    <w:p w:rsidR="006F49B8" w:rsidRPr="00A16C81" w:rsidRDefault="006F49B8" w:rsidP="006F49B8">
      <w:pPr>
        <w:pStyle w:val="Titolo1"/>
        <w:ind w:left="5388" w:firstLine="276"/>
        <w:jc w:val="left"/>
        <w:rPr>
          <w:rFonts w:asciiTheme="minorHAnsi" w:hAnsiTheme="minorHAnsi"/>
          <w:b w:val="0"/>
          <w:caps w:val="0"/>
          <w:sz w:val="44"/>
          <w:szCs w:val="44"/>
        </w:rPr>
      </w:pPr>
      <w:r>
        <w:rPr>
          <w:rFonts w:asciiTheme="minorHAnsi" w:hAnsiTheme="minorHAnsi"/>
          <w:b w:val="0"/>
          <w:caps w:val="0"/>
          <w:sz w:val="44"/>
          <w:szCs w:val="44"/>
        </w:rPr>
        <w:t xml:space="preserve">   </w:t>
      </w:r>
      <w:r w:rsidRPr="00A16C81">
        <w:rPr>
          <w:rFonts w:asciiTheme="minorHAnsi" w:hAnsiTheme="minorHAnsi"/>
          <w:b w:val="0"/>
          <w:caps w:val="0"/>
          <w:sz w:val="44"/>
          <w:szCs w:val="44"/>
        </w:rPr>
        <w:t xml:space="preserve">Provincia Di </w:t>
      </w:r>
      <w:r w:rsidR="008C1E5A">
        <w:rPr>
          <w:rFonts w:asciiTheme="minorHAnsi" w:hAnsiTheme="minorHAnsi"/>
          <w:b w:val="0"/>
          <w:caps w:val="0"/>
          <w:sz w:val="44"/>
          <w:szCs w:val="44"/>
        </w:rPr>
        <w:t>Brescia</w:t>
      </w:r>
    </w:p>
    <w:p w:rsidR="006F49B8" w:rsidRDefault="006F49B8"/>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PIANO FINANZIARIO </w:t>
      </w:r>
    </w:p>
    <w:p w:rsidR="006F49B8"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DEL SERVIZIO DI GESTIONE DEI RIFIUTI URBANI</w:t>
      </w:r>
    </w:p>
    <w:p w:rsidR="006F49B8" w:rsidRPr="006F49B8" w:rsidRDefault="006F49B8" w:rsidP="006F49B8">
      <w:pPr>
        <w:pBdr>
          <w:top w:val="single" w:sz="4" w:space="1" w:color="auto"/>
          <w:left w:val="single" w:sz="4" w:space="4" w:color="auto"/>
          <w:bottom w:val="single" w:sz="4" w:space="14" w:color="auto"/>
          <w:right w:val="single" w:sz="4" w:space="4" w:color="auto"/>
        </w:pBdr>
        <w:jc w:val="center"/>
        <w:rPr>
          <w:b/>
          <w:bCs/>
        </w:rPr>
      </w:pPr>
      <w:r w:rsidRPr="006F49B8">
        <w:rPr>
          <w:b/>
          <w:bCs/>
        </w:rPr>
        <w:t>RELAZIONE TECNICA</w:t>
      </w:r>
    </w:p>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ANNO </w:t>
      </w:r>
      <w:r w:rsidR="00F57C1D">
        <w:rPr>
          <w:b/>
          <w:bCs/>
          <w:sz w:val="40"/>
          <w:szCs w:val="40"/>
        </w:rPr>
        <w:t>2019</w:t>
      </w:r>
    </w:p>
    <w:p w:rsidR="006F49B8" w:rsidRPr="00A16C81"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rFonts w:asciiTheme="minorHAnsi" w:hAnsiTheme="minorHAnsi"/>
          <w:sz w:val="28"/>
          <w:szCs w:val="28"/>
        </w:rPr>
      </w:pPr>
      <w:r w:rsidRPr="00A16C81">
        <w:rPr>
          <w:rFonts w:asciiTheme="minorHAnsi" w:hAnsiTheme="minorHAnsi"/>
          <w:sz w:val="28"/>
          <w:szCs w:val="28"/>
        </w:rPr>
        <w:t>D.P.R. 27 aprile 1999 n. 158</w:t>
      </w:r>
    </w:p>
    <w:p w:rsidR="006F49B8" w:rsidRPr="004B4E07"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sz w:val="28"/>
          <w:szCs w:val="28"/>
        </w:rPr>
      </w:pPr>
      <w:r w:rsidRPr="00A16C81">
        <w:rPr>
          <w:rFonts w:asciiTheme="minorHAnsi" w:hAnsiTheme="minorHAnsi"/>
          <w:sz w:val="28"/>
          <w:szCs w:val="28"/>
        </w:rPr>
        <w:t>Art. 1 comma 683 Legge 27 dicembre 2013, n. 147</w:t>
      </w:r>
    </w:p>
    <w:p w:rsidR="006F49B8" w:rsidRDefault="006F49B8">
      <w: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NORMATIVA DI RIFERIMENTO</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L’art. 1 del D.P.R. n. 158 del 1999</w:t>
      </w:r>
      <w:r w:rsidR="00AC6E0C">
        <w:rPr>
          <w:rFonts w:asciiTheme="minorHAnsi" w:eastAsia="Times New Roman" w:hAnsiTheme="minorHAnsi" w:cs="Calibri"/>
          <w:color w:val="auto"/>
        </w:rPr>
        <w:t xml:space="preserve">  p</w:t>
      </w:r>
      <w:r w:rsidRPr="003711A9">
        <w:rPr>
          <w:rFonts w:asciiTheme="minorHAnsi" w:eastAsia="Times New Roman" w:hAnsiTheme="minorHAnsi" w:cs="Calibri"/>
          <w:color w:val="auto"/>
        </w:rPr>
        <w:t xml:space="preserve">revede testualmente che “E’ approvato il metodo normalizzato per la definizione delle componenti di costo da coprirsi con le entrate tariffarie e per la determinazione della tariffa di riferimento relativa alla gestione dei rifiuti urbani”.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 tariffa di riferimento rappresenta, come poi specifica l’art. 2 dello stesso D.P.R. n. 158/1999, “l’insieme dei criteri e delle condizioni che devono essere rispettati per la determinazione della tariffa da parte degli enti locali” (comma 1), in modo da “coprire tutti i costi afferenti al servizio di gestione dei rifiuti urbani” (comma 2).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Il metodo, pertanto, è costituito da un complesso di regole, metodologie e prescrizioni per determinare, da un lato, i costi del servizio di gestione e, dall’altro, l’intera struttura tariffaria applicabile alle varie categorie di utenza (cfr. anche art. 3, comma 1, D.P.R. n. 158 del 1999), in maniera tale che il gettito che ne deriva copra tutti i costi del servizio.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Specifica poi l’art. 3, comma 2, che “La tariffa è composta da una parte fissa, determinata in relazione alle componenti essenziali del costo del servizio, riferite in particolare agli investimenti per le opere e ai relativi ammortamenti, e da una parte variabile, rapportata alle quantità di rifiuti conferiti, al servizio fornito e all'entità dei costi di gestione. L’art. 4, comma 3, prescrive infine che “La tariffa, determinata ai sensi dell'art. 3, è articolata nelle fasce di utenza domestica e non domestica”.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Dalle norme ora richiamate si desume quindi che la metodologia tariffaria si articola nelle seguenti fasi fondamentali: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individuazione e classificazione dei costi del servizio;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suddivisione dei costi tra fissi e variabili;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ripartizione dei costi fissi e variabili in quote imputabili alle utenze domestiche e alle utenze non domestiche;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calcolo delle voci tariffarie, fisse e variabili, da attribuire alle singole categorie di utenza, in base alle formule e ai coefficienti indicati dal metodo. </w:t>
      </w:r>
    </w:p>
    <w:p w:rsidR="006F49B8" w:rsidRDefault="006F49B8" w:rsidP="006F49B8">
      <w:pPr>
        <w:spacing w:after="120"/>
        <w:rPr>
          <w:szCs w:val="24"/>
        </w:rPr>
      </w:pPr>
      <w:r w:rsidRPr="003711A9">
        <w:rPr>
          <w:szCs w:val="24"/>
        </w:rPr>
        <w:lastRenderedPageBreak/>
        <w:t>Il presente Piano finanziario redatto a norma dell’articolo 8 D.P.R. 158/1999, e successive modifiche e integrazioni, si pone come strumento di base ai fini della determinazione della tariffa del servizio di gestione del ciclo dei rifiuti urbani, sulla base dei principi sopra richiamati, con particolare riferimento alla corretta determinazione dei profili tariffari della componente TARI, nei suoi aspetti economico-finanziari.</w:t>
      </w:r>
    </w:p>
    <w:p w:rsidR="006F49B8" w:rsidRDefault="006F49B8" w:rsidP="006F49B8">
      <w:pPr>
        <w:spacing w:after="120"/>
        <w:rPr>
          <w:szCs w:val="24"/>
        </w:rPr>
      </w:pP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t>METODOLOGIA APPLICATIVA</w:t>
      </w:r>
    </w:p>
    <w:p w:rsidR="006F49B8" w:rsidRPr="003711A9" w:rsidRDefault="006F49B8" w:rsidP="006F49B8">
      <w:pPr>
        <w:spacing w:after="120"/>
        <w:rPr>
          <w:szCs w:val="24"/>
        </w:rPr>
      </w:pPr>
      <w:r w:rsidRPr="003711A9">
        <w:rPr>
          <w:szCs w:val="24"/>
        </w:rPr>
        <w:t xml:space="preserve">Come specifica il punto 1, </w:t>
      </w:r>
      <w:proofErr w:type="spellStart"/>
      <w:r w:rsidRPr="003711A9">
        <w:rPr>
          <w:szCs w:val="24"/>
        </w:rPr>
        <w:t>all</w:t>
      </w:r>
      <w:proofErr w:type="spellEnd"/>
      <w:r w:rsidRPr="003711A9">
        <w:rPr>
          <w:szCs w:val="24"/>
        </w:rPr>
        <w:t xml:space="preserve">. 1, D.P.R. 158/1999, la determinazione delle tariffe relative all’anno di riferimento avviene computando: </w:t>
      </w:r>
    </w:p>
    <w:p w:rsidR="006F49B8" w:rsidRPr="003711A9" w:rsidRDefault="006F49B8" w:rsidP="006F49B8">
      <w:pPr>
        <w:spacing w:after="120"/>
        <w:rPr>
          <w:szCs w:val="24"/>
        </w:rPr>
      </w:pPr>
      <w:r w:rsidRPr="003711A9">
        <w:rPr>
          <w:szCs w:val="24"/>
        </w:rPr>
        <w:t>• i costi operativi di gestione (CG) e i costi comuni (CC) dell’anno precedente (n-1), aggiornati in base al tasso programmato di inflazione (</w:t>
      </w:r>
      <w:proofErr w:type="spellStart"/>
      <w:r w:rsidRPr="003711A9">
        <w:rPr>
          <w:szCs w:val="24"/>
        </w:rPr>
        <w:t>IPn</w:t>
      </w:r>
      <w:proofErr w:type="spellEnd"/>
      <w:r w:rsidRPr="003711A9">
        <w:rPr>
          <w:szCs w:val="24"/>
        </w:rPr>
        <w:t>) diminuito di un coefficiente (</w:t>
      </w:r>
      <w:proofErr w:type="spellStart"/>
      <w:r w:rsidRPr="003711A9">
        <w:rPr>
          <w:szCs w:val="24"/>
        </w:rPr>
        <w:t>Xn</w:t>
      </w:r>
      <w:proofErr w:type="spellEnd"/>
      <w:r w:rsidRPr="003711A9">
        <w:rPr>
          <w:szCs w:val="24"/>
        </w:rPr>
        <w:t xml:space="preserve">) di recupero di produttività; </w:t>
      </w:r>
    </w:p>
    <w:p w:rsidR="006F49B8" w:rsidRPr="003711A9" w:rsidRDefault="006F49B8" w:rsidP="006F49B8">
      <w:pPr>
        <w:spacing w:after="120"/>
        <w:rPr>
          <w:szCs w:val="24"/>
        </w:rPr>
      </w:pPr>
      <w:r w:rsidRPr="003711A9">
        <w:rPr>
          <w:szCs w:val="24"/>
        </w:rPr>
        <w:t>• i costi d’uso del capitale (</w:t>
      </w:r>
      <w:proofErr w:type="spellStart"/>
      <w:r w:rsidRPr="003711A9">
        <w:rPr>
          <w:szCs w:val="24"/>
        </w:rPr>
        <w:t>CKn</w:t>
      </w:r>
      <w:proofErr w:type="spellEnd"/>
      <w:r w:rsidRPr="003711A9">
        <w:rPr>
          <w:szCs w:val="24"/>
        </w:rPr>
        <w:t xml:space="preserve">) dell’anno in corso; </w:t>
      </w:r>
    </w:p>
    <w:p w:rsidR="006F49B8" w:rsidRPr="003711A9" w:rsidRDefault="006F49B8" w:rsidP="006F49B8">
      <w:pPr>
        <w:spacing w:after="120"/>
        <w:rPr>
          <w:szCs w:val="24"/>
        </w:rPr>
      </w:pPr>
      <w:r w:rsidRPr="003711A9">
        <w:rPr>
          <w:szCs w:val="24"/>
        </w:rPr>
        <w:t xml:space="preserve">secondo la seguente formula: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(CG + CC)n-l (1+ </w:t>
      </w:r>
      <w:proofErr w:type="spellStart"/>
      <w:r w:rsidRPr="003711A9">
        <w:rPr>
          <w:szCs w:val="24"/>
        </w:rPr>
        <w:t>IPn</w:t>
      </w:r>
      <w:proofErr w:type="spellEnd"/>
      <w:r w:rsidRPr="003711A9">
        <w:rPr>
          <w:szCs w:val="24"/>
        </w:rPr>
        <w:t xml:space="preserve"> - </w:t>
      </w:r>
      <w:proofErr w:type="spellStart"/>
      <w:r w:rsidRPr="003711A9">
        <w:rPr>
          <w:szCs w:val="24"/>
        </w:rPr>
        <w:t>Xn</w:t>
      </w:r>
      <w:proofErr w:type="spellEnd"/>
      <w:r w:rsidRPr="003711A9">
        <w:rPr>
          <w:szCs w:val="24"/>
        </w:rPr>
        <w:t xml:space="preserve">) + </w:t>
      </w:r>
      <w:proofErr w:type="spellStart"/>
      <w:r w:rsidRPr="003711A9">
        <w:rPr>
          <w:szCs w:val="24"/>
        </w:rPr>
        <w:t>CKn</w:t>
      </w:r>
      <w:proofErr w:type="spellEnd"/>
      <w:r w:rsidRPr="003711A9">
        <w:rPr>
          <w:szCs w:val="24"/>
        </w:rPr>
        <w:t xml:space="preserve"> </w:t>
      </w:r>
    </w:p>
    <w:p w:rsidR="006F49B8" w:rsidRPr="003711A9" w:rsidRDefault="006F49B8" w:rsidP="006F49B8">
      <w:pPr>
        <w:spacing w:after="120"/>
        <w:rPr>
          <w:szCs w:val="24"/>
        </w:rPr>
      </w:pPr>
      <w:r w:rsidRPr="003711A9">
        <w:rPr>
          <w:szCs w:val="24"/>
        </w:rPr>
        <w:t xml:space="preserve">dove: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totale delle entrate tariffarie di riferimento </w:t>
      </w:r>
    </w:p>
    <w:p w:rsidR="006F49B8" w:rsidRPr="003711A9" w:rsidRDefault="006F49B8" w:rsidP="006F49B8">
      <w:pPr>
        <w:spacing w:after="120"/>
        <w:rPr>
          <w:szCs w:val="24"/>
        </w:rPr>
      </w:pPr>
      <w:proofErr w:type="spellStart"/>
      <w:r w:rsidRPr="003711A9">
        <w:rPr>
          <w:szCs w:val="24"/>
        </w:rPr>
        <w:t>CGn</w:t>
      </w:r>
      <w:proofErr w:type="spellEnd"/>
      <w:r w:rsidRPr="003711A9">
        <w:rPr>
          <w:szCs w:val="24"/>
        </w:rPr>
        <w:t>-l</w:t>
      </w:r>
      <w:r w:rsidRPr="003711A9">
        <w:rPr>
          <w:szCs w:val="24"/>
        </w:rPr>
        <w:tab/>
        <w:t xml:space="preserve">= costi di gestione del ciclo dei servizi attinenti i rifiuti solidi urbani dell'anno precedente </w:t>
      </w:r>
    </w:p>
    <w:p w:rsidR="006F49B8" w:rsidRPr="003711A9" w:rsidRDefault="006F49B8" w:rsidP="006F49B8">
      <w:pPr>
        <w:spacing w:after="120"/>
        <w:rPr>
          <w:szCs w:val="24"/>
        </w:rPr>
      </w:pPr>
      <w:proofErr w:type="spellStart"/>
      <w:r w:rsidRPr="003711A9">
        <w:rPr>
          <w:szCs w:val="24"/>
        </w:rPr>
        <w:t>CCn</w:t>
      </w:r>
      <w:proofErr w:type="spellEnd"/>
      <w:r w:rsidRPr="003711A9">
        <w:rPr>
          <w:szCs w:val="24"/>
        </w:rPr>
        <w:t xml:space="preserve">-l </w:t>
      </w:r>
      <w:r w:rsidRPr="003711A9">
        <w:rPr>
          <w:szCs w:val="24"/>
        </w:rPr>
        <w:tab/>
        <w:t xml:space="preserve">= costi comuni imputabili alle attività relative ai rifiuti urbani dell'anno precedente </w:t>
      </w:r>
    </w:p>
    <w:p w:rsidR="006F49B8" w:rsidRPr="003711A9" w:rsidRDefault="006F49B8" w:rsidP="006F49B8">
      <w:pPr>
        <w:spacing w:after="120"/>
        <w:rPr>
          <w:szCs w:val="24"/>
        </w:rPr>
      </w:pPr>
      <w:proofErr w:type="spellStart"/>
      <w:r w:rsidRPr="003711A9">
        <w:rPr>
          <w:szCs w:val="24"/>
        </w:rPr>
        <w:t>IPn</w:t>
      </w:r>
      <w:proofErr w:type="spellEnd"/>
      <w:r w:rsidRPr="003711A9">
        <w:rPr>
          <w:szCs w:val="24"/>
        </w:rPr>
        <w:t xml:space="preserve"> </w:t>
      </w:r>
      <w:r w:rsidRPr="003711A9">
        <w:rPr>
          <w:szCs w:val="24"/>
        </w:rPr>
        <w:tab/>
        <w:t xml:space="preserve">= inflazione programmata per l'anno di riferimento </w:t>
      </w:r>
    </w:p>
    <w:p w:rsidR="006F49B8" w:rsidRPr="003711A9" w:rsidRDefault="006F49B8" w:rsidP="006F49B8">
      <w:pPr>
        <w:spacing w:after="120"/>
        <w:rPr>
          <w:szCs w:val="24"/>
        </w:rPr>
      </w:pPr>
      <w:proofErr w:type="spellStart"/>
      <w:r w:rsidRPr="003711A9">
        <w:rPr>
          <w:szCs w:val="24"/>
        </w:rPr>
        <w:t>Xn</w:t>
      </w:r>
      <w:proofErr w:type="spellEnd"/>
      <w:r w:rsidRPr="003711A9">
        <w:rPr>
          <w:szCs w:val="24"/>
        </w:rPr>
        <w:t xml:space="preserve"> </w:t>
      </w:r>
      <w:r w:rsidRPr="003711A9">
        <w:rPr>
          <w:szCs w:val="24"/>
        </w:rPr>
        <w:tab/>
        <w:t xml:space="preserve">= recupero di produttività per l'anno di riferimento </w:t>
      </w:r>
    </w:p>
    <w:p w:rsidR="006F49B8" w:rsidRPr="003711A9" w:rsidRDefault="006F49B8" w:rsidP="006F49B8">
      <w:pPr>
        <w:spacing w:after="120"/>
        <w:rPr>
          <w:szCs w:val="24"/>
        </w:rPr>
      </w:pPr>
      <w:proofErr w:type="spellStart"/>
      <w:r w:rsidRPr="003711A9">
        <w:rPr>
          <w:szCs w:val="24"/>
        </w:rPr>
        <w:t>CKn</w:t>
      </w:r>
      <w:proofErr w:type="spellEnd"/>
      <w:r w:rsidRPr="003711A9">
        <w:rPr>
          <w:szCs w:val="24"/>
        </w:rPr>
        <w:t xml:space="preserve"> </w:t>
      </w:r>
      <w:r w:rsidRPr="003711A9">
        <w:rPr>
          <w:szCs w:val="24"/>
        </w:rPr>
        <w:tab/>
        <w:t xml:space="preserve">= costi d'uso del capitale relativi all'anno di riferimento. </w:t>
      </w:r>
    </w:p>
    <w:p w:rsidR="006F49B8" w:rsidRDefault="006F49B8" w:rsidP="006F49B8">
      <w:pPr>
        <w:spacing w:after="120"/>
        <w:rPr>
          <w:szCs w:val="24"/>
        </w:rPr>
      </w:pPr>
      <w:r w:rsidRPr="003711A9">
        <w:rPr>
          <w:szCs w:val="24"/>
        </w:rPr>
        <w:t xml:space="preserve">Nella puntuale ricerca delle voci che concorrono alla quantificazione dei costi, sulla base delle prescrizioni stabilite dal citato D.P.R., occorre soffermarsi altresì su alcuni aspetti che sono stati valutati al fine di determinare una situazione, per l’anno </w:t>
      </w:r>
      <w:r w:rsidR="00A83308">
        <w:rPr>
          <w:szCs w:val="24"/>
        </w:rPr>
        <w:t>2019</w:t>
      </w:r>
      <w:r w:rsidRPr="003711A9">
        <w:rPr>
          <w:szCs w:val="24"/>
        </w:rPr>
        <w:t>, più coerente e reale, anche al fine di dar seguito ai criteri generali imposti nella stesura dei bilanci, per accertare in modo chiaro, veritiero e corretto i cespiti contenuti nel presente Piano Finanziario nella sua componente economico/finanziaria.</w:t>
      </w:r>
    </w:p>
    <w:p w:rsidR="006F49B8" w:rsidRDefault="006F49B8">
      <w:pPr>
        <w:rPr>
          <w:szCs w:val="24"/>
        </w:rPr>
      </w:pPr>
      <w:r>
        <w:rPr>
          <w:szCs w:val="24"/>
        </w:rP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 xml:space="preserve">L’INDIVIDUAZIONE E </w:t>
      </w:r>
      <w:smartTag w:uri="urn:schemas-microsoft-com:office:smarttags" w:element="PersonName">
        <w:smartTagPr>
          <w:attr w:name="ProductID" w:val="LA RIPARTIZIONE DEI COSTI"/>
        </w:smartTagPr>
        <w:smartTag w:uri="urn:schemas-microsoft-com:office:smarttags" w:element="PersonName">
          <w:smartTagPr>
            <w:attr w:name="ProductID" w:val="LA RIPARTIZIONE DEI"/>
          </w:smartTagPr>
          <w:r w:rsidRPr="00753DB1">
            <w:rPr>
              <w:rFonts w:asciiTheme="minorHAnsi" w:hAnsiTheme="minorHAnsi"/>
              <w:b/>
              <w:bCs/>
              <w:iCs/>
              <w:szCs w:val="24"/>
            </w:rPr>
            <w:t>LA RIPARTIZIONE DEI</w:t>
          </w:r>
        </w:smartTag>
        <w:r w:rsidRPr="00753DB1">
          <w:rPr>
            <w:rFonts w:asciiTheme="minorHAnsi" w:hAnsiTheme="minorHAnsi"/>
            <w:b/>
            <w:bCs/>
            <w:iCs/>
            <w:szCs w:val="24"/>
          </w:rPr>
          <w:t xml:space="preserve"> COSTI</w:t>
        </w:r>
      </w:smartTag>
      <w:r w:rsidRPr="00753DB1">
        <w:rPr>
          <w:rFonts w:asciiTheme="minorHAnsi" w:hAnsiTheme="minorHAnsi"/>
          <w:b/>
          <w:bCs/>
          <w:iCs/>
          <w:szCs w:val="24"/>
        </w:rPr>
        <w:t xml:space="preserve"> DEL SERVIZIO</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2, comma 2, del D.P.R. n. 158 del 1999 sancisce il principio di obbligatoria e integrale copertura di tutti i costi afferenti al servizio di gestione dei rifiuti tramite la tariffa, principio ribadito dall’art. 1 comma 654 della Legge 147/2013 che prevede, attraverso l’applicazione della TARI, la copertura integrale dei costi di investimento e di esercizio. </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3 del D.P.R. n. 158 del 1999 specifica inoltre che: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il costo complessivo del servizio è determinato in base alle prescrizioni della tariffa di riferimento da dettagliare nel Piano Economico Finanziario - PEF (comma 1);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le voci di costo sono determinate dal punto 3 dell’Allegato 1 al D.P.R. n. 158 del 1999 (commi 2 e 3). </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Il D.P.R. 158/1999 suddivide i costi afferenti alla gestione del ciclo dei rifiuti urbani, che devono essere coperti con la tariffa in due comparti: costi fissi (costi relativi alle componenti del servizio di gestione dei rifiuti urbani non specificamente correlate alla produzione di rifiuti da parte degli utenti) e costi variabili (costi relativi alle componenti del servizio di gestione dei rifiuti urbani la cui entità è proporzionale alla quantità di rifiuti prodotta e, conseguentemente, alla raccolta, al trasporto e allo smaltimento dei rifiuti urbani).</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Tutte queste voci concorrono alla commisurazione della base tariffaria per il nuovo sistema di calcolo.</w:t>
      </w:r>
    </w:p>
    <w:p w:rsidR="00723AFE"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 xml:space="preserve">Le prime operazioni da compiere consistono nella ripartizione dei costi tra fissi e variabili, secondo la classificazione operata dal D.P.R. 158/1999. </w:t>
      </w:r>
      <w:r w:rsidRPr="00731CF5">
        <w:rPr>
          <w:rFonts w:eastAsia="Times New Roman" w:cs="Times New Roman"/>
          <w:sz w:val="24"/>
          <w:szCs w:val="24"/>
          <w:lang w:eastAsia="ar-SA"/>
        </w:rPr>
        <w:t xml:space="preserve">Per ciò che concerne la loro incidenza sul totale dei costi accertati, è stata determinata una distribuzione pari al </w:t>
      </w:r>
      <w:r w:rsidR="00763063" w:rsidRPr="00731CF5">
        <w:rPr>
          <w:rFonts w:eastAsia="Times New Roman" w:cs="Times New Roman"/>
          <w:b/>
          <w:sz w:val="24"/>
          <w:szCs w:val="24"/>
          <w:lang w:eastAsia="ar-SA"/>
        </w:rPr>
        <w:t>5</w:t>
      </w:r>
      <w:r w:rsidR="0002488F" w:rsidRPr="00731CF5">
        <w:rPr>
          <w:rFonts w:eastAsia="Times New Roman" w:cs="Times New Roman"/>
          <w:b/>
          <w:sz w:val="24"/>
          <w:szCs w:val="24"/>
          <w:lang w:eastAsia="ar-SA"/>
        </w:rPr>
        <w:t>0</w:t>
      </w:r>
      <w:r w:rsidR="00763063" w:rsidRPr="00731CF5">
        <w:rPr>
          <w:rFonts w:eastAsia="Times New Roman" w:cs="Times New Roman"/>
          <w:b/>
          <w:sz w:val="24"/>
          <w:szCs w:val="24"/>
          <w:lang w:eastAsia="ar-SA"/>
        </w:rPr>
        <w:t>,</w:t>
      </w:r>
      <w:r w:rsidR="0002488F" w:rsidRPr="00731CF5">
        <w:rPr>
          <w:rFonts w:eastAsia="Times New Roman" w:cs="Times New Roman"/>
          <w:b/>
          <w:sz w:val="24"/>
          <w:szCs w:val="24"/>
          <w:lang w:eastAsia="ar-SA"/>
        </w:rPr>
        <w:t>6</w:t>
      </w:r>
      <w:r w:rsidR="00763063" w:rsidRPr="00731CF5">
        <w:rPr>
          <w:rFonts w:eastAsia="Times New Roman" w:cs="Times New Roman"/>
          <w:b/>
          <w:sz w:val="24"/>
          <w:szCs w:val="24"/>
          <w:lang w:eastAsia="ar-SA"/>
        </w:rPr>
        <w:t xml:space="preserve">3 </w:t>
      </w:r>
      <w:r w:rsidRPr="00731CF5">
        <w:rPr>
          <w:rFonts w:eastAsia="Times New Roman" w:cs="Times New Roman"/>
          <w:b/>
          <w:sz w:val="24"/>
          <w:szCs w:val="24"/>
          <w:lang w:eastAsia="ar-SA"/>
        </w:rPr>
        <w:t>%</w:t>
      </w:r>
      <w:r w:rsidRPr="00731CF5">
        <w:rPr>
          <w:rFonts w:eastAsia="Times New Roman" w:cs="Times New Roman"/>
          <w:sz w:val="24"/>
          <w:szCs w:val="24"/>
          <w:lang w:eastAsia="ar-SA"/>
        </w:rPr>
        <w:t xml:space="preserve"> a carico dei Costi Fissi e del </w:t>
      </w:r>
      <w:r w:rsidR="00763063" w:rsidRPr="00731CF5">
        <w:rPr>
          <w:rFonts w:eastAsia="Times New Roman" w:cs="Times New Roman"/>
          <w:b/>
          <w:sz w:val="24"/>
          <w:szCs w:val="24"/>
          <w:lang w:eastAsia="ar-SA"/>
        </w:rPr>
        <w:t>4</w:t>
      </w:r>
      <w:r w:rsidR="0002488F" w:rsidRPr="00731CF5">
        <w:rPr>
          <w:rFonts w:eastAsia="Times New Roman" w:cs="Times New Roman"/>
          <w:b/>
          <w:sz w:val="24"/>
          <w:szCs w:val="24"/>
          <w:lang w:eastAsia="ar-SA"/>
        </w:rPr>
        <w:t>9,37</w:t>
      </w:r>
      <w:r w:rsidR="00763063" w:rsidRPr="00731CF5">
        <w:rPr>
          <w:rFonts w:eastAsia="Times New Roman" w:cs="Times New Roman"/>
          <w:b/>
          <w:sz w:val="24"/>
          <w:szCs w:val="24"/>
          <w:lang w:eastAsia="ar-SA"/>
        </w:rPr>
        <w:t xml:space="preserve"> </w:t>
      </w:r>
      <w:r w:rsidRPr="00731CF5">
        <w:rPr>
          <w:rFonts w:eastAsia="Times New Roman" w:cs="Times New Roman"/>
          <w:b/>
          <w:sz w:val="24"/>
          <w:szCs w:val="24"/>
          <w:lang w:eastAsia="ar-SA"/>
        </w:rPr>
        <w:t>%</w:t>
      </w:r>
      <w:r w:rsidRPr="00731CF5">
        <w:rPr>
          <w:rFonts w:eastAsia="Times New Roman" w:cs="Times New Roman"/>
          <w:sz w:val="24"/>
          <w:szCs w:val="24"/>
          <w:lang w:eastAsia="ar-SA"/>
        </w:rPr>
        <w:t xml:space="preserve"> a carico dei Costi Variabili.</w:t>
      </w:r>
    </w:p>
    <w:p w:rsidR="00723AFE" w:rsidRDefault="00723AFE" w:rsidP="00AC4151">
      <w:pPr>
        <w:jc w:val="both"/>
        <w:rPr>
          <w:szCs w:val="24"/>
        </w:rPr>
      </w:pPr>
      <w:r>
        <w:rPr>
          <w:szCs w:val="24"/>
        </w:rPr>
        <w:br w:type="page"/>
      </w:r>
    </w:p>
    <w:p w:rsidR="006F49B8" w:rsidRDefault="006F49B8" w:rsidP="006F49B8">
      <w:pPr>
        <w:spacing w:after="120"/>
        <w:rPr>
          <w:szCs w:val="24"/>
        </w:rPr>
      </w:pPr>
    </w:p>
    <w:p w:rsidR="00723AFE" w:rsidRDefault="002339BA" w:rsidP="00723AFE">
      <w:pPr>
        <w:spacing w:after="0"/>
        <w:rPr>
          <w:szCs w:val="24"/>
        </w:rPr>
      </w:pPr>
      <w:r>
        <w:rPr>
          <w:noProof/>
          <w:szCs w:val="24"/>
          <w:lang w:eastAsia="it-IT"/>
        </w:rPr>
        <w:drawing>
          <wp:inline distT="0" distB="0" distL="0" distR="0">
            <wp:extent cx="9067800" cy="30480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9067800" cy="3048000"/>
                    </a:xfrm>
                    <a:prstGeom prst="rect">
                      <a:avLst/>
                    </a:prstGeom>
                    <a:noFill/>
                    <a:ln w="9525">
                      <a:noFill/>
                      <a:miter lim="800000"/>
                      <a:headEnd/>
                      <a:tailEnd/>
                    </a:ln>
                  </pic:spPr>
                </pic:pic>
              </a:graphicData>
            </a:graphic>
          </wp:inline>
        </w:drawing>
      </w:r>
    </w:p>
    <w:p w:rsidR="006F49B8" w:rsidRDefault="006F49B8" w:rsidP="006F49B8">
      <w:pPr>
        <w:spacing w:after="120"/>
        <w:rPr>
          <w:szCs w:val="24"/>
        </w:rPr>
      </w:pPr>
    </w:p>
    <w:p w:rsidR="006F49B8" w:rsidRPr="00753DB1" w:rsidRDefault="006F49B8" w:rsidP="006F49B8">
      <w:pPr>
        <w:pStyle w:val="Paragrafoelenco"/>
        <w:numPr>
          <w:ilvl w:val="0"/>
          <w:numId w:val="2"/>
        </w:numPr>
        <w:spacing w:after="120"/>
        <w:rPr>
          <w:rFonts w:asciiTheme="minorHAnsi" w:hAnsiTheme="minorHAnsi"/>
          <w:b/>
          <w:szCs w:val="24"/>
          <w:u w:val="single"/>
        </w:rPr>
      </w:pPr>
      <w:r w:rsidRPr="00753DB1">
        <w:rPr>
          <w:rFonts w:asciiTheme="minorHAnsi" w:hAnsiTheme="minorHAnsi"/>
          <w:b/>
          <w:szCs w:val="24"/>
          <w:u w:val="single"/>
        </w:rPr>
        <w:t>CRITERI DI RIPARTIZIONE DEI COSTI TRA UTENZE DOMESTICHE E UTENZE NON DOMESTICHE</w:t>
      </w:r>
    </w:p>
    <w:p w:rsidR="006F49B8" w:rsidRPr="00753DB1" w:rsidRDefault="006F49B8" w:rsidP="006F49B8">
      <w:pPr>
        <w:spacing w:after="120"/>
        <w:rPr>
          <w:szCs w:val="24"/>
        </w:rPr>
      </w:pPr>
      <w:r w:rsidRPr="00753DB1">
        <w:rPr>
          <w:szCs w:val="24"/>
        </w:rPr>
        <w:t xml:space="preserve">Una volta individuata la ripartizione di cui al precedente punto, è necessario procedere alla suddivisione degli stessi tra le due </w:t>
      </w:r>
      <w:proofErr w:type="spellStart"/>
      <w:r w:rsidRPr="00753DB1">
        <w:rPr>
          <w:szCs w:val="24"/>
        </w:rPr>
        <w:t>macrocategorie</w:t>
      </w:r>
      <w:proofErr w:type="spellEnd"/>
      <w:r w:rsidRPr="00753DB1">
        <w:rPr>
          <w:szCs w:val="24"/>
        </w:rPr>
        <w:t xml:space="preserve"> di utenze domestiche e non domestiche (art. 4, comma 2, dello stesso D.P.R.), considerando che:</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domestiche sono costituite soltanto dalle abitazioni familiari. </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non domestiche ricomprendono tutte le restanti utenze, in cui rientrano, come specifica l’art. 6, comma 1, del D.P.R. n. 158 del 1999: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attività commerciali, industriali, professionali e produttive in genere;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“comunità”, espressione da riferire alle “residenze collettive e simili, di cui al gruppo catastale P1 del D.P.R. n. 138 del 1998, corrispondente all’attuale gruppo catastale B1 (collegi e convitti, educandati, ricoveri, orfanotrofi, ospizi, conventi, seminari e caserme). </w:t>
      </w:r>
    </w:p>
    <w:p w:rsidR="006F49B8" w:rsidRPr="00753DB1" w:rsidRDefault="006F49B8" w:rsidP="006F49B8">
      <w:pPr>
        <w:keepNext/>
        <w:spacing w:after="120"/>
        <w:rPr>
          <w:szCs w:val="24"/>
        </w:rPr>
      </w:pPr>
      <w:r w:rsidRPr="00753DB1">
        <w:rPr>
          <w:szCs w:val="24"/>
        </w:rPr>
        <w:lastRenderedPageBreak/>
        <w:t xml:space="preserve">Come meglio si vedrà, all’interno di questa ripartizione di base delle utenze, sussistono ulteriori </w:t>
      </w:r>
      <w:proofErr w:type="spellStart"/>
      <w:r w:rsidRPr="00753DB1">
        <w:rPr>
          <w:szCs w:val="24"/>
        </w:rPr>
        <w:t>sottoarticolazioni</w:t>
      </w:r>
      <w:proofErr w:type="spellEnd"/>
      <w:r w:rsidRPr="00753DB1">
        <w:rPr>
          <w:szCs w:val="24"/>
        </w:rPr>
        <w:t xml:space="preserve">, in quanto per i Comuni come </w:t>
      </w:r>
      <w:r w:rsidR="00AC6E0C">
        <w:rPr>
          <w:szCs w:val="24"/>
        </w:rPr>
        <w:t>Berzo Demo</w:t>
      </w:r>
      <w:bookmarkStart w:id="0" w:name="_GoBack"/>
      <w:bookmarkEnd w:id="0"/>
      <w:r w:rsidRPr="00753DB1">
        <w:rPr>
          <w:szCs w:val="24"/>
        </w:rPr>
        <w:t xml:space="preserve"> con popolazione inferiore ai 5.000 abitanti: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domestiche sono distinte in sei categorie in relazione al numero degli occupanti (Allegato 1, </w:t>
      </w:r>
      <w:proofErr w:type="spellStart"/>
      <w:r w:rsidRPr="00753DB1">
        <w:rPr>
          <w:szCs w:val="24"/>
        </w:rPr>
        <w:t>tab</w:t>
      </w:r>
      <w:proofErr w:type="spellEnd"/>
      <w:r w:rsidRPr="00753DB1">
        <w:rPr>
          <w:szCs w:val="24"/>
        </w:rPr>
        <w:t xml:space="preserve">. 1a e 2, del D.P.R. n. 158 del 1999);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non domestiche sono differenziate in relazione all’attività svolta, individuandosi 21 tipologie (Allegato 1, </w:t>
      </w:r>
      <w:proofErr w:type="spellStart"/>
      <w:r w:rsidRPr="00753DB1">
        <w:rPr>
          <w:szCs w:val="24"/>
        </w:rPr>
        <w:t>tab</w:t>
      </w:r>
      <w:proofErr w:type="spellEnd"/>
      <w:r w:rsidRPr="00753DB1">
        <w:rPr>
          <w:szCs w:val="24"/>
        </w:rPr>
        <w:t xml:space="preserve">. 3a e 4a del D.P.R. n. 158 del 1999). </w:t>
      </w:r>
    </w:p>
    <w:p w:rsidR="006F49B8" w:rsidRPr="00753DB1" w:rsidRDefault="006F49B8" w:rsidP="006F49B8">
      <w:pPr>
        <w:spacing w:after="120"/>
        <w:rPr>
          <w:szCs w:val="24"/>
        </w:rPr>
      </w:pPr>
    </w:p>
    <w:p w:rsidR="006F49B8" w:rsidRPr="00753DB1" w:rsidRDefault="006F49B8" w:rsidP="006F49B8">
      <w:pPr>
        <w:spacing w:after="120"/>
        <w:rPr>
          <w:szCs w:val="24"/>
        </w:rPr>
      </w:pPr>
      <w:r w:rsidRPr="00753DB1">
        <w:rPr>
          <w:szCs w:val="24"/>
        </w:rPr>
        <w:t>Per la ripartizione dei costi tra utenze domestiche e non domestiche l’art. 4 del D.P.R. 158/1999 non detta regole precise, a differenza di quanto previsto per la ripartizione tra costi fissi e variabili, limitandosi ad indicare che la suddivisione debba avvenire “secondo criteri razionali”.</w:t>
      </w:r>
    </w:p>
    <w:p w:rsidR="006F49B8" w:rsidRDefault="006F49B8" w:rsidP="00CD2161">
      <w:pPr>
        <w:spacing w:after="120"/>
        <w:rPr>
          <w:szCs w:val="24"/>
        </w:rPr>
      </w:pPr>
      <w:r w:rsidRPr="00CA66E4">
        <w:rPr>
          <w:szCs w:val="24"/>
        </w:rPr>
        <w:t>A tal fine, si è proceduto all’analisi considerando la suddivisione dei costi fissi e variabili, tra utenze domestiche e non domestiche</w:t>
      </w:r>
      <w:r w:rsidR="00CA66E4" w:rsidRPr="00CA66E4">
        <w:rPr>
          <w:szCs w:val="24"/>
        </w:rPr>
        <w:t xml:space="preserve"> come previsto dal </w:t>
      </w:r>
      <w:proofErr w:type="spellStart"/>
      <w:r w:rsidR="00CA66E4" w:rsidRPr="00CA66E4">
        <w:rPr>
          <w:szCs w:val="24"/>
        </w:rPr>
        <w:t>Dpr</w:t>
      </w:r>
      <w:proofErr w:type="spellEnd"/>
      <w:r w:rsidR="00CA66E4" w:rsidRPr="00CA66E4">
        <w:rPr>
          <w:szCs w:val="24"/>
        </w:rPr>
        <w:t>. 158.</w:t>
      </w:r>
      <w:r>
        <w:rPr>
          <w:szCs w:val="24"/>
        </w:rPr>
        <w:br w:type="page"/>
      </w:r>
    </w:p>
    <w:p w:rsidR="006F49B8" w:rsidRPr="00E7086D" w:rsidRDefault="006F49B8" w:rsidP="006F49B8">
      <w:pPr>
        <w:pStyle w:val="Paragrafoelenco"/>
        <w:numPr>
          <w:ilvl w:val="0"/>
          <w:numId w:val="2"/>
        </w:numPr>
        <w:spacing w:after="120"/>
        <w:rPr>
          <w:rFonts w:asciiTheme="minorHAnsi" w:hAnsiTheme="minorHAnsi"/>
          <w:b/>
          <w:szCs w:val="24"/>
        </w:rPr>
      </w:pPr>
      <w:r w:rsidRPr="00E7086D">
        <w:rPr>
          <w:rFonts w:asciiTheme="minorHAnsi" w:hAnsiTheme="minorHAnsi"/>
          <w:b/>
          <w:szCs w:val="24"/>
        </w:rPr>
        <w:lastRenderedPageBreak/>
        <w:t>LA RIPARTIZIONE TRA LE DIVERSE TIPOLOGIE DI UTENZA</w:t>
      </w:r>
    </w:p>
    <w:p w:rsidR="006F49B8" w:rsidRPr="00E7086D" w:rsidRDefault="006F49B8" w:rsidP="006F49B8">
      <w:pPr>
        <w:spacing w:after="120"/>
        <w:rPr>
          <w:szCs w:val="24"/>
        </w:rPr>
      </w:pPr>
      <w:r w:rsidRPr="00E7086D">
        <w:rPr>
          <w:szCs w:val="24"/>
        </w:rPr>
        <w:t>La quadri-partizione derivante dalla suddivisione dei costi in fissi e variabili, ripartiti poi tra utenze domestiche e non domestiche, sulla base dei criteri evidenziati in precedenza, si traduce nel seguente prospetto</w:t>
      </w:r>
    </w:p>
    <w:p w:rsidR="006F49B8" w:rsidRDefault="00A56767" w:rsidP="006F49B8">
      <w:pPr>
        <w:spacing w:after="120"/>
        <w:jc w:val="center"/>
        <w:rPr>
          <w:szCs w:val="24"/>
        </w:rPr>
      </w:pPr>
      <w:r w:rsidRPr="00A56767">
        <w:rPr>
          <w:noProof/>
          <w:szCs w:val="24"/>
          <w:lang w:eastAsia="it-IT"/>
        </w:rPr>
        <w:drawing>
          <wp:inline distT="0" distB="0" distL="0" distR="0">
            <wp:extent cx="4276725" cy="3228975"/>
            <wp:effectExtent l="57150" t="19050" r="28575" b="0"/>
            <wp:docPr id="12"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49B8" w:rsidRPr="00E7086D" w:rsidRDefault="006F49B8" w:rsidP="006F49B8">
      <w:pPr>
        <w:spacing w:after="120"/>
        <w:rPr>
          <w:szCs w:val="24"/>
        </w:rPr>
      </w:pPr>
      <w:r w:rsidRPr="00E7086D">
        <w:rPr>
          <w:szCs w:val="24"/>
        </w:rPr>
        <w:t xml:space="preserve">L’art. 3 del D.P.R. n. 158 del 1999 dispone che “la tariffa è composta da una parte fissa, determinata in relazione alle componenti essenziali del costo del servizio, riferite in particolare agli investimenti per le opere e dai relativi ammortamenti, e da una parte variabile, rapportata alle quantità di rifiuti conferiti, al servizio fornito e all'entità dei costi di gestione”. L’importo addebitato al singolo utente presenta pertanto una struttura “binomia” data dalla somma delle due componenti, ossia: </w:t>
      </w:r>
    </w:p>
    <w:p w:rsidR="006F49B8" w:rsidRPr="00E7086D" w:rsidRDefault="006F49B8" w:rsidP="006F49B8">
      <w:pPr>
        <w:numPr>
          <w:ilvl w:val="0"/>
          <w:numId w:val="7"/>
        </w:numPr>
        <w:suppressAutoHyphens/>
        <w:spacing w:after="120" w:line="360" w:lineRule="auto"/>
        <w:jc w:val="both"/>
        <w:rPr>
          <w:szCs w:val="24"/>
        </w:rPr>
      </w:pPr>
      <w:r w:rsidRPr="00E7086D">
        <w:rPr>
          <w:szCs w:val="24"/>
        </w:rPr>
        <w:t xml:space="preserve">una parte fissa, determinata in relazione alle componenti essenziali del costo del servizio, riferite in particolare agli investimenti per le opere e ai relativi ammortamenti; </w:t>
      </w:r>
    </w:p>
    <w:p w:rsidR="006F49B8" w:rsidRPr="00274035" w:rsidRDefault="006F49B8" w:rsidP="006F49B8">
      <w:pPr>
        <w:numPr>
          <w:ilvl w:val="0"/>
          <w:numId w:val="7"/>
        </w:numPr>
        <w:suppressAutoHyphens/>
        <w:spacing w:after="120" w:line="360" w:lineRule="auto"/>
        <w:jc w:val="both"/>
        <w:rPr>
          <w:szCs w:val="24"/>
        </w:rPr>
      </w:pPr>
      <w:r w:rsidRPr="00274035">
        <w:rPr>
          <w:szCs w:val="24"/>
        </w:rPr>
        <w:t>una parte variabile, rapportata alle quantità di rifiuti conferiti, al servizio fornito e all’entità dei costi di gestione.</w:t>
      </w:r>
      <w:r w:rsidRPr="00274035">
        <w:rPr>
          <w:szCs w:val="24"/>
        </w:rPr>
        <w:br w:type="page"/>
      </w:r>
    </w:p>
    <w:p w:rsidR="006F49B8" w:rsidRPr="00E7086D" w:rsidRDefault="006F49B8" w:rsidP="006F49B8">
      <w:pPr>
        <w:pStyle w:val="Paragrafoelenco"/>
        <w:numPr>
          <w:ilvl w:val="0"/>
          <w:numId w:val="2"/>
        </w:numPr>
        <w:spacing w:before="120" w:after="120"/>
        <w:rPr>
          <w:rFonts w:asciiTheme="minorHAnsi" w:hAnsiTheme="minorHAnsi"/>
          <w:b/>
          <w:bCs/>
          <w:iCs/>
          <w:szCs w:val="24"/>
        </w:rPr>
      </w:pPr>
      <w:r w:rsidRPr="00E7086D">
        <w:rPr>
          <w:rFonts w:asciiTheme="minorHAnsi" w:hAnsiTheme="minorHAnsi"/>
          <w:b/>
          <w:bCs/>
          <w:iCs/>
          <w:szCs w:val="24"/>
        </w:rPr>
        <w:lastRenderedPageBreak/>
        <w:t>RIPARTIZIONE DELLA QUOTA DEI COSTI FISSI E DEI COSTI VARIABILI TRA LE UTENZE DOMESTICHE</w:t>
      </w:r>
    </w:p>
    <w:p w:rsidR="006F49B8" w:rsidRPr="00E7086D" w:rsidRDefault="006F49B8" w:rsidP="006F49B8">
      <w:pPr>
        <w:spacing w:after="120"/>
        <w:rPr>
          <w:szCs w:val="24"/>
        </w:rPr>
      </w:pPr>
      <w:r w:rsidRPr="00E7086D">
        <w:rPr>
          <w:szCs w:val="24"/>
        </w:rPr>
        <w:t>Sulla base dei criteri stabiliti dal D.P.R. 158/1999, la quota fissa delle utenze domestiche viene ripartita in relazione ai metri quadri occupati dalle sei categorie corrispondenti al numero degli occupanti, intendendosi come unica categoria quella rappresentata da 6 o più occupanti.</w:t>
      </w:r>
    </w:p>
    <w:p w:rsidR="006F49B8" w:rsidRPr="00E7086D" w:rsidRDefault="006F49B8" w:rsidP="006F49B8">
      <w:pPr>
        <w:spacing w:after="120"/>
        <w:rPr>
          <w:szCs w:val="24"/>
        </w:rPr>
      </w:pPr>
      <w:r w:rsidRPr="00E7086D">
        <w:rPr>
          <w:szCs w:val="24"/>
        </w:rPr>
        <w:t>Le superfici di riferimento vengono riparametrate sulla base di specifici coefficienti (Ka) presenti nello stesso D.P.R. 158/1999.</w:t>
      </w:r>
    </w:p>
    <w:p w:rsidR="006F49B8" w:rsidRPr="00E7086D" w:rsidRDefault="006F49B8" w:rsidP="006F49B8">
      <w:pPr>
        <w:spacing w:after="120"/>
        <w:rPr>
          <w:szCs w:val="24"/>
        </w:rPr>
      </w:pPr>
      <w:r w:rsidRPr="00E7086D">
        <w:rPr>
          <w:szCs w:val="24"/>
        </w:rPr>
        <w:t>La quota variabile viene invece ripartita proporzionalmente tra le stesse categorie, indipendentemente dalla superficie occupata, sulla base di specifici coefficienti nell’ambito degli intervalli di cui al D.P.R. 158/1999 (denominati Kb).</w:t>
      </w:r>
    </w:p>
    <w:p w:rsidR="006F49B8" w:rsidRPr="00E7086D" w:rsidRDefault="006F49B8" w:rsidP="006F49B8">
      <w:pPr>
        <w:spacing w:after="120"/>
        <w:rPr>
          <w:szCs w:val="24"/>
        </w:rPr>
      </w:pPr>
      <w:r w:rsidRPr="00E7086D">
        <w:rPr>
          <w:szCs w:val="24"/>
        </w:rPr>
        <w:t>L’evidenziazione di entrambi tali coefficienti è demandata ai successivi specifici punti.</w:t>
      </w:r>
    </w:p>
    <w:p w:rsidR="006F49B8" w:rsidRPr="00E7086D" w:rsidRDefault="006F49B8" w:rsidP="006F49B8">
      <w:pPr>
        <w:spacing w:after="120"/>
        <w:rPr>
          <w:szCs w:val="24"/>
        </w:rPr>
      </w:pPr>
      <w:r w:rsidRPr="00E7086D">
        <w:rPr>
          <w:szCs w:val="24"/>
        </w:rPr>
        <w:t>Le informazioni necessarie per la ripartizione di entrambe le tipologie di costo, fissa e variabile, delle utenze domestiche sono riportate di seguito:</w:t>
      </w:r>
    </w:p>
    <w:tbl>
      <w:tblPr>
        <w:tblW w:w="5000" w:type="pct"/>
        <w:tblCellMar>
          <w:left w:w="70" w:type="dxa"/>
          <w:right w:w="70" w:type="dxa"/>
        </w:tblCellMar>
        <w:tblLook w:val="04A0" w:firstRow="1" w:lastRow="0" w:firstColumn="1" w:lastColumn="0" w:noHBand="0" w:noVBand="1"/>
      </w:tblPr>
      <w:tblGrid>
        <w:gridCol w:w="1672"/>
        <w:gridCol w:w="7278"/>
        <w:gridCol w:w="2346"/>
        <w:gridCol w:w="557"/>
        <w:gridCol w:w="1877"/>
        <w:gridCol w:w="557"/>
      </w:tblGrid>
      <w:tr w:rsidR="0002488F" w:rsidRPr="0002488F" w:rsidTr="0002488F">
        <w:trPr>
          <w:trHeight w:val="288"/>
        </w:trPr>
        <w:tc>
          <w:tcPr>
            <w:tcW w:w="585" w:type="pct"/>
            <w:tcBorders>
              <w:top w:val="nil"/>
              <w:left w:val="nil"/>
              <w:bottom w:val="nil"/>
              <w:right w:val="nil"/>
            </w:tcBorders>
            <w:shd w:val="clear" w:color="auto" w:fill="auto"/>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821" w:type="pct"/>
            <w:tcBorders>
              <w:top w:val="nil"/>
              <w:left w:val="nil"/>
              <w:bottom w:val="nil"/>
              <w:right w:val="nil"/>
            </w:tcBorders>
            <w:shd w:val="clear" w:color="auto" w:fill="auto"/>
            <w:hideMark/>
          </w:tcPr>
          <w:p w:rsidR="0002488F" w:rsidRPr="0002488F" w:rsidRDefault="0002488F" w:rsidP="0002488F">
            <w:pPr>
              <w:spacing w:after="0" w:line="240" w:lineRule="auto"/>
              <w:jc w:val="right"/>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Superficie tot.</w:t>
            </w:r>
          </w:p>
        </w:tc>
        <w:tc>
          <w:tcPr>
            <w:tcW w:w="195" w:type="pct"/>
            <w:tcBorders>
              <w:top w:val="nil"/>
              <w:left w:val="nil"/>
              <w:bottom w:val="nil"/>
              <w:right w:val="nil"/>
            </w:tcBorders>
            <w:shd w:val="clear" w:color="auto" w:fill="auto"/>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852" w:type="pct"/>
            <w:gridSpan w:val="2"/>
            <w:tcBorders>
              <w:top w:val="nil"/>
              <w:left w:val="nil"/>
              <w:bottom w:val="nil"/>
              <w:right w:val="nil"/>
            </w:tcBorders>
            <w:shd w:val="clear" w:color="auto" w:fill="auto"/>
            <w:hideMark/>
          </w:tcPr>
          <w:p w:rsidR="0002488F" w:rsidRPr="0002488F" w:rsidRDefault="0002488F" w:rsidP="0002488F">
            <w:pPr>
              <w:spacing w:after="0" w:line="240" w:lineRule="auto"/>
              <w:jc w:val="center"/>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Numero ut.</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1 componenti nucleo familiare</w:t>
            </w:r>
          </w:p>
        </w:tc>
        <w:tc>
          <w:tcPr>
            <w:tcW w:w="821" w:type="pct"/>
            <w:tcBorders>
              <w:top w:val="single" w:sz="4" w:space="0" w:color="auto"/>
              <w:left w:val="single" w:sz="4" w:space="0" w:color="auto"/>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31.459 </w:t>
            </w:r>
          </w:p>
        </w:tc>
        <w:tc>
          <w:tcPr>
            <w:tcW w:w="852" w:type="pct"/>
            <w:gridSpan w:val="2"/>
            <w:tcBorders>
              <w:top w:val="single" w:sz="4" w:space="0" w:color="auto"/>
              <w:left w:val="nil"/>
              <w:bottom w:val="nil"/>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313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2 componenti nucleo familiare</w:t>
            </w:r>
          </w:p>
        </w:tc>
        <w:tc>
          <w:tcPr>
            <w:tcW w:w="821" w:type="pct"/>
            <w:tcBorders>
              <w:top w:val="nil"/>
              <w:left w:val="single" w:sz="4" w:space="0" w:color="auto"/>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28.767 </w:t>
            </w:r>
          </w:p>
        </w:tc>
        <w:tc>
          <w:tcPr>
            <w:tcW w:w="852" w:type="pct"/>
            <w:gridSpan w:val="2"/>
            <w:tcBorders>
              <w:top w:val="nil"/>
              <w:left w:val="nil"/>
              <w:bottom w:val="nil"/>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204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3 componenti nucleo familiare</w:t>
            </w:r>
          </w:p>
        </w:tc>
        <w:tc>
          <w:tcPr>
            <w:tcW w:w="821" w:type="pct"/>
            <w:tcBorders>
              <w:top w:val="nil"/>
              <w:left w:val="single" w:sz="4" w:space="0" w:color="auto"/>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33.857 </w:t>
            </w:r>
          </w:p>
        </w:tc>
        <w:tc>
          <w:tcPr>
            <w:tcW w:w="852" w:type="pct"/>
            <w:gridSpan w:val="2"/>
            <w:tcBorders>
              <w:top w:val="nil"/>
              <w:left w:val="nil"/>
              <w:bottom w:val="nil"/>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286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4 componenti nucleo familiare</w:t>
            </w:r>
          </w:p>
        </w:tc>
        <w:tc>
          <w:tcPr>
            <w:tcW w:w="821" w:type="pct"/>
            <w:tcBorders>
              <w:top w:val="nil"/>
              <w:left w:val="single" w:sz="4" w:space="0" w:color="auto"/>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16.865 </w:t>
            </w:r>
          </w:p>
        </w:tc>
        <w:tc>
          <w:tcPr>
            <w:tcW w:w="852" w:type="pct"/>
            <w:gridSpan w:val="2"/>
            <w:tcBorders>
              <w:top w:val="nil"/>
              <w:left w:val="nil"/>
              <w:bottom w:val="nil"/>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110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5 componenti nucleo familiare</w:t>
            </w:r>
          </w:p>
        </w:tc>
        <w:tc>
          <w:tcPr>
            <w:tcW w:w="821" w:type="pct"/>
            <w:tcBorders>
              <w:top w:val="nil"/>
              <w:left w:val="single" w:sz="4" w:space="0" w:color="auto"/>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4.541 </w:t>
            </w:r>
          </w:p>
        </w:tc>
        <w:tc>
          <w:tcPr>
            <w:tcW w:w="852" w:type="pct"/>
            <w:gridSpan w:val="2"/>
            <w:tcBorders>
              <w:top w:val="nil"/>
              <w:left w:val="nil"/>
              <w:bottom w:val="nil"/>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16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con 6 o più componenti nucleo familiare</w:t>
            </w:r>
          </w:p>
        </w:tc>
        <w:tc>
          <w:tcPr>
            <w:tcW w:w="821" w:type="pct"/>
            <w:tcBorders>
              <w:top w:val="nil"/>
              <w:left w:val="single" w:sz="4" w:space="0" w:color="auto"/>
              <w:bottom w:val="single" w:sz="4" w:space="0" w:color="auto"/>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355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i/>
                <w:iCs/>
                <w:color w:val="000000"/>
                <w:lang w:eastAsia="it-IT"/>
              </w:rPr>
            </w:pPr>
            <w:r w:rsidRPr="0002488F">
              <w:rPr>
                <w:rFonts w:ascii="Calibri" w:eastAsia="Times New Roman" w:hAnsi="Calibri" w:cs="Calibri"/>
                <w:i/>
                <w:iCs/>
                <w:color w:val="000000"/>
                <w:lang w:eastAsia="it-IT"/>
              </w:rPr>
              <w:t xml:space="preserve">                             3 </w:t>
            </w:r>
          </w:p>
        </w:tc>
      </w:tr>
      <w:tr w:rsidR="0002488F" w:rsidRPr="0002488F" w:rsidTr="0002488F">
        <w:trPr>
          <w:gridAfter w:val="1"/>
          <w:wAfter w:w="195" w:type="pct"/>
          <w:trHeight w:val="120"/>
        </w:trPr>
        <w:tc>
          <w:tcPr>
            <w:tcW w:w="585" w:type="pct"/>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w:t>
            </w:r>
          </w:p>
        </w:tc>
      </w:tr>
      <w:tr w:rsidR="0002488F" w:rsidRPr="0002488F" w:rsidTr="0002488F">
        <w:trPr>
          <w:gridAfter w:val="1"/>
          <w:wAfter w:w="195" w:type="pct"/>
          <w:trHeight w:val="288"/>
        </w:trPr>
        <w:tc>
          <w:tcPr>
            <w:tcW w:w="3132" w:type="pct"/>
            <w:gridSpan w:val="2"/>
            <w:tcBorders>
              <w:top w:val="nil"/>
              <w:left w:val="nil"/>
              <w:bottom w:val="nil"/>
              <w:right w:val="nil"/>
            </w:tcBorders>
            <w:shd w:val="clear" w:color="000000" w:fill="D8D8D8"/>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Utenze domestiche tenute a disposizione</w:t>
            </w:r>
          </w:p>
        </w:tc>
        <w:tc>
          <w:tcPr>
            <w:tcW w:w="821" w:type="pct"/>
            <w:tcBorders>
              <w:top w:val="nil"/>
              <w:left w:val="single" w:sz="4" w:space="0" w:color="auto"/>
              <w:bottom w:val="single" w:sz="4" w:space="0" w:color="auto"/>
              <w:right w:val="nil"/>
            </w:tcBorders>
            <w:shd w:val="clear" w:color="000000" w:fill="D8D8D8"/>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xml:space="preserve">                  14.208 </w:t>
            </w:r>
          </w:p>
        </w:tc>
        <w:tc>
          <w:tcPr>
            <w:tcW w:w="852" w:type="pct"/>
            <w:gridSpan w:val="2"/>
            <w:tcBorders>
              <w:top w:val="nil"/>
              <w:left w:val="nil"/>
              <w:bottom w:val="single" w:sz="4" w:space="0" w:color="auto"/>
              <w:right w:val="single" w:sz="4" w:space="0" w:color="auto"/>
            </w:tcBorders>
            <w:shd w:val="clear" w:color="000000" w:fill="D8D8D8"/>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xml:space="preserve">                         152 </w:t>
            </w:r>
          </w:p>
        </w:tc>
      </w:tr>
      <w:tr w:rsidR="0002488F" w:rsidRPr="0002488F" w:rsidTr="0002488F">
        <w:trPr>
          <w:gridAfter w:val="1"/>
          <w:wAfter w:w="195" w:type="pct"/>
          <w:trHeight w:val="105"/>
        </w:trPr>
        <w:tc>
          <w:tcPr>
            <w:tcW w:w="585" w:type="pct"/>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w:t>
            </w:r>
          </w:p>
        </w:tc>
      </w:tr>
      <w:tr w:rsidR="0002488F" w:rsidRPr="0002488F" w:rsidTr="0002488F">
        <w:trPr>
          <w:gridAfter w:val="1"/>
          <w:wAfter w:w="195" w:type="pct"/>
          <w:trHeight w:val="288"/>
        </w:trPr>
        <w:tc>
          <w:tcPr>
            <w:tcW w:w="585" w:type="pct"/>
            <w:tcBorders>
              <w:top w:val="nil"/>
              <w:left w:val="nil"/>
              <w:bottom w:val="nil"/>
              <w:right w:val="nil"/>
            </w:tcBorders>
            <w:shd w:val="clear" w:color="auto" w:fill="auto"/>
            <w:hideMark/>
          </w:tcPr>
          <w:p w:rsidR="0002488F" w:rsidRPr="0002488F" w:rsidRDefault="0002488F" w:rsidP="0002488F">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02488F" w:rsidRPr="0002488F" w:rsidRDefault="0002488F" w:rsidP="0002488F">
            <w:pPr>
              <w:spacing w:after="0" w:line="240" w:lineRule="auto"/>
              <w:jc w:val="right"/>
              <w:rPr>
                <w:rFonts w:ascii="Calibri" w:eastAsia="Times New Roman" w:hAnsi="Calibri" w:cs="Calibri"/>
                <w:color w:val="000000"/>
                <w:lang w:eastAsia="it-IT"/>
              </w:rPr>
            </w:pPr>
            <w:r w:rsidRPr="0002488F">
              <w:rPr>
                <w:rFonts w:ascii="Calibri" w:eastAsia="Times New Roman" w:hAnsi="Calibri" w:cs="Calibri"/>
                <w:color w:val="000000"/>
                <w:lang w:eastAsia="it-IT"/>
              </w:rPr>
              <w:t>TOTALE</w:t>
            </w:r>
          </w:p>
        </w:tc>
        <w:tc>
          <w:tcPr>
            <w:tcW w:w="821" w:type="pct"/>
            <w:tcBorders>
              <w:top w:val="nil"/>
              <w:left w:val="single" w:sz="4" w:space="0" w:color="auto"/>
              <w:bottom w:val="single" w:sz="4" w:space="0" w:color="auto"/>
              <w:right w:val="nil"/>
            </w:tcBorders>
            <w:shd w:val="clear" w:color="auto" w:fill="auto"/>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xml:space="preserve">                115.845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02488F" w:rsidRPr="0002488F" w:rsidRDefault="0002488F" w:rsidP="0002488F">
            <w:pPr>
              <w:spacing w:after="0" w:line="240" w:lineRule="auto"/>
              <w:rPr>
                <w:rFonts w:ascii="Calibri" w:eastAsia="Times New Roman" w:hAnsi="Calibri" w:cs="Calibri"/>
                <w:color w:val="000000"/>
                <w:lang w:eastAsia="it-IT"/>
              </w:rPr>
            </w:pPr>
            <w:r w:rsidRPr="0002488F">
              <w:rPr>
                <w:rFonts w:ascii="Calibri" w:eastAsia="Times New Roman" w:hAnsi="Calibri" w:cs="Calibri"/>
                <w:color w:val="000000"/>
                <w:lang w:eastAsia="it-IT"/>
              </w:rPr>
              <w:t xml:space="preserve">                         932 </w:t>
            </w:r>
          </w:p>
        </w:tc>
      </w:tr>
    </w:tbl>
    <w:p w:rsidR="006F49B8" w:rsidRDefault="006F49B8" w:rsidP="00E37052">
      <w:pPr>
        <w:spacing w:after="0"/>
        <w:rPr>
          <w:szCs w:val="24"/>
        </w:rPr>
      </w:pPr>
    </w:p>
    <w:p w:rsidR="006F49B8" w:rsidRPr="00E7086D" w:rsidRDefault="006F49B8" w:rsidP="006F49B8">
      <w:pPr>
        <w:pStyle w:val="Paragrafoelenco"/>
        <w:numPr>
          <w:ilvl w:val="0"/>
          <w:numId w:val="2"/>
        </w:numPr>
        <w:spacing w:after="120"/>
        <w:rPr>
          <w:rFonts w:asciiTheme="minorHAnsi" w:hAnsiTheme="minorHAnsi"/>
          <w:b/>
          <w:bCs/>
          <w:iCs/>
          <w:szCs w:val="24"/>
        </w:rPr>
      </w:pPr>
      <w:r w:rsidRPr="00E7086D">
        <w:rPr>
          <w:rFonts w:asciiTheme="minorHAnsi" w:hAnsiTheme="minorHAnsi"/>
          <w:b/>
          <w:bCs/>
          <w:iCs/>
          <w:szCs w:val="24"/>
        </w:rPr>
        <w:t>INDIVIDUAZIONE DEI COEFFICIENTI “K” PER LE UTENZE DOMESTICHE</w:t>
      </w:r>
    </w:p>
    <w:p w:rsidR="006F49B8" w:rsidRPr="00E7086D" w:rsidRDefault="006F49B8" w:rsidP="006F49B8">
      <w:pPr>
        <w:spacing w:after="120"/>
        <w:rPr>
          <w:szCs w:val="24"/>
        </w:rPr>
      </w:pPr>
      <w:r w:rsidRPr="00E7086D">
        <w:rPr>
          <w:szCs w:val="24"/>
        </w:rPr>
        <w:t>Il D.P.R. 158/1999 non dà possibilità di variazione, se non geografico/dimensionali (comuni fino e oltre 5 mila abitanti, ubicati al Nord, Centro o Sud, per un totale di sei classi), nell’applicazione del coefficiente Ka, relativo alla ripartizione dei costi fissi.</w:t>
      </w:r>
    </w:p>
    <w:p w:rsidR="006F49B8" w:rsidRPr="00E7086D" w:rsidRDefault="006F49B8" w:rsidP="006F49B8">
      <w:pPr>
        <w:spacing w:after="120"/>
        <w:rPr>
          <w:szCs w:val="24"/>
        </w:rPr>
      </w:pPr>
      <w:r w:rsidRPr="00E7086D">
        <w:rPr>
          <w:szCs w:val="24"/>
        </w:rPr>
        <w:t>Per quanto riguarda la ripartizione dei costi variabili è invece presente, per ciascuna categoria, un intervallo minimo/massimo, all’interno del quale deve essere operata la scelta del coefficiente Kb.</w:t>
      </w:r>
    </w:p>
    <w:p w:rsidR="006F49B8" w:rsidRPr="00E7086D" w:rsidRDefault="006F49B8" w:rsidP="006F49B8">
      <w:pPr>
        <w:spacing w:after="120"/>
        <w:rPr>
          <w:szCs w:val="24"/>
        </w:rPr>
      </w:pPr>
      <w:r w:rsidRPr="00E7086D">
        <w:rPr>
          <w:szCs w:val="24"/>
        </w:rPr>
        <w:lastRenderedPageBreak/>
        <w:t>Per quanto riguarda l’esercizio del potere di individuazione dei coefficienti, è opportuno richiamare la giurisprudenza consolidata (giova ricordare che il D.P.R. 158/1999 costituiva, precedentemente all’introduzione della TARES prima e della TARI poi, il riferimento per l’applicazione della Tariffa per la gestione dei rifiuti urbani cosiddetta TIA) efficacemente richiamata all’interno del capitolo 15 delle “linee guida per la redazione del piano finanziario e per l’elaborazione delle tariffe”, per i quali viene sancito il criterio di ragionevolezza e di discrezionalità nell’ambito della loro scelta operata dall’Amministrazione Comunale.</w:t>
      </w:r>
    </w:p>
    <w:p w:rsidR="006F49B8" w:rsidRDefault="006F49B8" w:rsidP="002F4083">
      <w:pPr>
        <w:spacing w:after="120" w:line="240" w:lineRule="auto"/>
        <w:rPr>
          <w:szCs w:val="24"/>
        </w:rPr>
      </w:pPr>
      <w:r w:rsidRPr="00CD2161">
        <w:rPr>
          <w:szCs w:val="24"/>
        </w:rPr>
        <w:t xml:space="preserve">Ai fini dell’applicazione del tributo per l’anno </w:t>
      </w:r>
      <w:r w:rsidR="00A83308" w:rsidRPr="00CD2161">
        <w:rPr>
          <w:szCs w:val="24"/>
        </w:rPr>
        <w:t>2019</w:t>
      </w:r>
      <w:r w:rsidRPr="00CD2161">
        <w:rPr>
          <w:szCs w:val="24"/>
        </w:rPr>
        <w:t xml:space="preserve">, </w:t>
      </w:r>
      <w:r w:rsidR="002F4083" w:rsidRPr="00CD2161">
        <w:rPr>
          <w:rFonts w:ascii="Calibri" w:eastAsia="Calibri" w:hAnsi="Calibri" w:cs="Times New Roman"/>
          <w:szCs w:val="24"/>
        </w:rPr>
        <w:t>si è stabilito di</w:t>
      </w:r>
      <w:r w:rsidR="00845EF5" w:rsidRPr="00CD2161">
        <w:rPr>
          <w:rFonts w:ascii="Calibri" w:eastAsia="Calibri" w:hAnsi="Calibri" w:cs="Times New Roman"/>
          <w:szCs w:val="24"/>
        </w:rPr>
        <w:t xml:space="preserve"> utilizzare gli stessi coefficienti già personalizzati per il 2018 come da prospetto di cui sotto</w:t>
      </w:r>
      <w:r w:rsidR="00845EF5">
        <w:rPr>
          <w:rFonts w:ascii="Calibri" w:eastAsia="Calibri" w:hAnsi="Calibri" w:cs="Times New Roman"/>
          <w:szCs w:val="24"/>
        </w:rPr>
        <w:t xml:space="preserve"> riportato</w:t>
      </w:r>
      <w:r w:rsidRPr="00E7086D">
        <w:rPr>
          <w:szCs w:val="24"/>
        </w:rPr>
        <w:t>:</w:t>
      </w:r>
    </w:p>
    <w:tbl>
      <w:tblPr>
        <w:tblW w:w="5000" w:type="pct"/>
        <w:tblCellMar>
          <w:left w:w="70" w:type="dxa"/>
          <w:right w:w="70" w:type="dxa"/>
        </w:tblCellMar>
        <w:tblLook w:val="04A0" w:firstRow="1" w:lastRow="0" w:firstColumn="1" w:lastColumn="0" w:noHBand="0" w:noVBand="1"/>
      </w:tblPr>
      <w:tblGrid>
        <w:gridCol w:w="9796"/>
        <w:gridCol w:w="2202"/>
        <w:gridCol w:w="2279"/>
      </w:tblGrid>
      <w:tr w:rsidR="0013018C" w:rsidRPr="00A1446A" w:rsidTr="00592887">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Ka</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per parte fissa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 xml:space="preserve">fisso da tabella </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0,53</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1,08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1,16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1,24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single" w:sz="4" w:space="0" w:color="auto"/>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1,30</w:t>
            </w:r>
          </w:p>
        </w:tc>
      </w:tr>
      <w:tr w:rsidR="0013018C" w:rsidRPr="002F4083" w:rsidTr="00592887">
        <w:trPr>
          <w:trHeight w:val="284"/>
        </w:trPr>
        <w:tc>
          <w:tcPr>
            <w:tcW w:w="343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7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98" w:type="pct"/>
            <w:tcBorders>
              <w:top w:val="nil"/>
              <w:left w:val="nil"/>
              <w:bottom w:val="nil"/>
              <w:right w:val="nil"/>
            </w:tcBorders>
            <w:shd w:val="clear" w:color="auto" w:fill="auto"/>
            <w:vAlign w:val="center"/>
            <w:hideMark/>
          </w:tcPr>
          <w:p w:rsidR="0013018C" w:rsidRPr="002F4083" w:rsidRDefault="0013018C" w:rsidP="00C521ED">
            <w:pPr>
              <w:spacing w:after="0" w:line="240" w:lineRule="auto"/>
              <w:jc w:val="center"/>
              <w:rPr>
                <w:rFonts w:ascii="Calibri" w:hAnsi="Calibri"/>
                <w:color w:val="000000"/>
                <w:sz w:val="16"/>
                <w:szCs w:val="16"/>
              </w:rPr>
            </w:pPr>
          </w:p>
        </w:tc>
      </w:tr>
      <w:tr w:rsidR="0013018C" w:rsidRPr="00A1446A" w:rsidTr="00592887">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Kb</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scelto per parte variabile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scelta operata</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0,6 a 1</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0,73</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1,4 a 1,8</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1,14</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1,8 a 2,3</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FF0000"/>
              </w:rPr>
            </w:pPr>
            <w:r>
              <w:rPr>
                <w:rFonts w:ascii="Calibri" w:hAnsi="Calibri" w:cs="Calibri"/>
                <w:color w:val="FF0000"/>
              </w:rPr>
              <w:t>1,70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2,2 a 3</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2,53</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2,9 a 3,6</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3,21</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3,4 a 4,1</w:t>
            </w:r>
          </w:p>
        </w:tc>
        <w:tc>
          <w:tcPr>
            <w:tcW w:w="798" w:type="pct"/>
            <w:tcBorders>
              <w:top w:val="nil"/>
              <w:left w:val="nil"/>
              <w:bottom w:val="single" w:sz="4" w:space="0" w:color="auto"/>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4,10</w:t>
            </w:r>
          </w:p>
        </w:tc>
      </w:tr>
    </w:tbl>
    <w:p w:rsidR="0013018C" w:rsidRPr="00E7086D" w:rsidRDefault="0013018C" w:rsidP="002F4083">
      <w:pPr>
        <w:spacing w:after="120" w:line="240" w:lineRule="auto"/>
        <w:rPr>
          <w:szCs w:val="24"/>
        </w:rPr>
      </w:pPr>
    </w:p>
    <w:p w:rsidR="006F49B8" w:rsidRPr="00BB445B" w:rsidRDefault="006F49B8" w:rsidP="006F49B8">
      <w:pPr>
        <w:pStyle w:val="Paragrafoelenco"/>
        <w:numPr>
          <w:ilvl w:val="0"/>
          <w:numId w:val="2"/>
        </w:numPr>
        <w:spacing w:before="120"/>
        <w:rPr>
          <w:rFonts w:asciiTheme="minorHAnsi" w:hAnsiTheme="minorHAnsi"/>
          <w:b/>
          <w:bCs/>
          <w:iCs/>
          <w:szCs w:val="24"/>
        </w:rPr>
      </w:pPr>
      <w:r w:rsidRPr="00BB445B">
        <w:rPr>
          <w:rFonts w:asciiTheme="minorHAnsi" w:hAnsiTheme="minorHAnsi"/>
          <w:b/>
          <w:bCs/>
          <w:iCs/>
          <w:szCs w:val="24"/>
        </w:rPr>
        <w:t>RIPARTIZIONE DELLA QUOTA DEI COSTI FISSI E DEI COSTI VARIABILI TRA LE UTENZE NON DOMESTICHE</w:t>
      </w:r>
    </w:p>
    <w:p w:rsidR="006F49B8" w:rsidRPr="00BB445B" w:rsidRDefault="006F49B8" w:rsidP="006F49B8">
      <w:pPr>
        <w:spacing w:after="120"/>
        <w:rPr>
          <w:szCs w:val="24"/>
        </w:rPr>
      </w:pPr>
      <w:r w:rsidRPr="00BB445B">
        <w:rPr>
          <w:szCs w:val="24"/>
        </w:rPr>
        <w:t>Sulla base dei criteri stabiliti dal D.P.R. 158/1999, sia la quota fissa che quella variabile delle utenze non domestiche, viene ripartita sulla base dei metri quadri occupati da ciascuna delle 21 categorie determinate dal citato Decreto, in relazione alla tipologia di attività svolta dal soggetto passivo del tributo.</w:t>
      </w:r>
    </w:p>
    <w:p w:rsidR="006F49B8" w:rsidRPr="00BB445B" w:rsidRDefault="006F49B8" w:rsidP="006F49B8">
      <w:pPr>
        <w:spacing w:after="120"/>
        <w:rPr>
          <w:szCs w:val="24"/>
        </w:rPr>
      </w:pPr>
      <w:r w:rsidRPr="00BB445B">
        <w:rPr>
          <w:szCs w:val="24"/>
        </w:rPr>
        <w:t xml:space="preserve">Le superfici di riferimento vengono riparametrate sulla base di specifici coefficienti (Kc per la parte fissa, e </w:t>
      </w:r>
      <w:proofErr w:type="spellStart"/>
      <w:r w:rsidRPr="00BB445B">
        <w:rPr>
          <w:szCs w:val="24"/>
        </w:rPr>
        <w:t>Kd</w:t>
      </w:r>
      <w:proofErr w:type="spellEnd"/>
      <w:r w:rsidRPr="00BB445B">
        <w:rPr>
          <w:szCs w:val="24"/>
        </w:rPr>
        <w:t xml:space="preserve"> per la parte variabile) nell’ambito degli intervalli previsti nello stesso D.P.R. 158/1999. L’evidenziazione di entrambi tali coefficienti è demandata al successivo specifico punto.</w:t>
      </w:r>
    </w:p>
    <w:p w:rsidR="006F49B8" w:rsidRDefault="006F49B8" w:rsidP="0013018C">
      <w:pPr>
        <w:spacing w:after="120"/>
        <w:rPr>
          <w:szCs w:val="24"/>
        </w:rPr>
      </w:pPr>
      <w:r w:rsidRPr="00BB445B">
        <w:rPr>
          <w:szCs w:val="24"/>
        </w:rPr>
        <w:lastRenderedPageBreak/>
        <w:t>Le informazioni necessarie per la ripartizione di entrambe le tipologie di costo, fissa e variabile, delle utenze non domestiche, sono riportate di seguito:</w:t>
      </w:r>
    </w:p>
    <w:p w:rsidR="0064417A" w:rsidRPr="00BB445B" w:rsidRDefault="0064417A" w:rsidP="0013018C">
      <w:pPr>
        <w:spacing w:after="120"/>
        <w:rPr>
          <w:szCs w:val="24"/>
        </w:rPr>
      </w:pPr>
    </w:p>
    <w:tbl>
      <w:tblPr>
        <w:tblW w:w="5000" w:type="pct"/>
        <w:tblCellMar>
          <w:left w:w="70" w:type="dxa"/>
          <w:right w:w="70" w:type="dxa"/>
        </w:tblCellMar>
        <w:tblLook w:val="04A0" w:firstRow="1" w:lastRow="0" w:firstColumn="1" w:lastColumn="0" w:noHBand="0" w:noVBand="1"/>
      </w:tblPr>
      <w:tblGrid>
        <w:gridCol w:w="10575"/>
        <w:gridCol w:w="409"/>
        <w:gridCol w:w="1445"/>
        <w:gridCol w:w="408"/>
        <w:gridCol w:w="1445"/>
      </w:tblGrid>
      <w:tr w:rsidR="00C3515F" w:rsidRPr="00C3515F" w:rsidTr="00C3515F">
        <w:trPr>
          <w:trHeight w:val="576"/>
        </w:trPr>
        <w:tc>
          <w:tcPr>
            <w:tcW w:w="3702"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3515F" w:rsidRPr="00C3515F" w:rsidRDefault="00C3515F" w:rsidP="00C3515F">
            <w:pPr>
              <w:spacing w:after="0" w:line="240" w:lineRule="auto"/>
              <w:jc w:val="center"/>
              <w:rPr>
                <w:rFonts w:ascii="Calibri" w:eastAsia="Times New Roman" w:hAnsi="Calibri" w:cs="Calibri"/>
                <w:i/>
                <w:iCs/>
                <w:color w:val="000000"/>
                <w:lang w:eastAsia="it-IT"/>
              </w:rPr>
            </w:pPr>
            <w:r w:rsidRPr="00C3515F">
              <w:rPr>
                <w:rFonts w:ascii="Calibri" w:eastAsia="Times New Roman" w:hAnsi="Calibri" w:cs="Calibri"/>
                <w:i/>
                <w:iCs/>
                <w:color w:val="000000"/>
                <w:lang w:eastAsia="it-IT"/>
              </w:rPr>
              <w:t>Superfici PF</w:t>
            </w:r>
          </w:p>
        </w:tc>
        <w:tc>
          <w:tcPr>
            <w:tcW w:w="143" w:type="pct"/>
            <w:tcBorders>
              <w:top w:val="nil"/>
              <w:left w:val="nil"/>
              <w:bottom w:val="nil"/>
              <w:right w:val="single" w:sz="4" w:space="0" w:color="auto"/>
            </w:tcBorders>
            <w:shd w:val="clear" w:color="auto" w:fill="auto"/>
            <w:vAlign w:val="center"/>
            <w:hideMark/>
          </w:tcPr>
          <w:p w:rsidR="00C3515F" w:rsidRPr="00C3515F" w:rsidRDefault="00C3515F" w:rsidP="00C3515F">
            <w:pPr>
              <w:spacing w:after="0" w:line="240" w:lineRule="auto"/>
              <w:jc w:val="center"/>
              <w:rPr>
                <w:rFonts w:ascii="Calibri" w:eastAsia="Times New Roman" w:hAnsi="Calibri" w:cs="Calibri"/>
                <w:i/>
                <w:iCs/>
                <w:color w:val="000000"/>
                <w:lang w:eastAsia="it-IT"/>
              </w:rPr>
            </w:pPr>
            <w:r w:rsidRPr="00C3515F">
              <w:rPr>
                <w:rFonts w:ascii="Calibri" w:eastAsia="Times New Roman" w:hAnsi="Calibri" w:cs="Calibri"/>
                <w:i/>
                <w:iCs/>
                <w:color w:val="000000"/>
                <w:lang w:eastAsia="it-IT"/>
              </w:rPr>
              <w:t> </w:t>
            </w:r>
          </w:p>
        </w:tc>
        <w:tc>
          <w:tcPr>
            <w:tcW w:w="506" w:type="pct"/>
            <w:tcBorders>
              <w:top w:val="single" w:sz="4" w:space="0" w:color="auto"/>
              <w:left w:val="nil"/>
              <w:bottom w:val="single" w:sz="4" w:space="0" w:color="auto"/>
              <w:right w:val="single" w:sz="4" w:space="0" w:color="auto"/>
            </w:tcBorders>
            <w:shd w:val="clear" w:color="auto" w:fill="auto"/>
            <w:vAlign w:val="center"/>
            <w:hideMark/>
          </w:tcPr>
          <w:p w:rsidR="00C3515F" w:rsidRPr="00C3515F" w:rsidRDefault="00C3515F" w:rsidP="00C3515F">
            <w:pPr>
              <w:spacing w:after="0" w:line="240" w:lineRule="auto"/>
              <w:jc w:val="center"/>
              <w:rPr>
                <w:rFonts w:ascii="Calibri" w:eastAsia="Times New Roman" w:hAnsi="Calibri" w:cs="Calibri"/>
                <w:i/>
                <w:iCs/>
                <w:color w:val="000000"/>
                <w:lang w:eastAsia="it-IT"/>
              </w:rPr>
            </w:pPr>
            <w:r w:rsidRPr="00C3515F">
              <w:rPr>
                <w:rFonts w:ascii="Calibri" w:eastAsia="Times New Roman" w:hAnsi="Calibri" w:cs="Calibri"/>
                <w:i/>
                <w:iCs/>
                <w:color w:val="000000"/>
                <w:lang w:eastAsia="it-IT"/>
              </w:rPr>
              <w:t>Superfici PV</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01 - Musei, biblioteche, scuole, associazioni, luoghi di culto</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163,00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163,00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02 - Campeggi, distributori carburanti</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03 - Stabilimenti balneari, terme e simili, stadio, autostazioni e Stazioni ferroviarie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04 - Esposizioni, autosaloni</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6.630,00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6.630,00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05 - Alberghi con ristorante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921,00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921,00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06 - Alberghi senza ristorante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07 - Case di cura e riposo</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08 - Uffici, agenzie, studi professionali</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803,74</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803,74</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09 - Banche ed istituti di credito</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200,00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200,00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 xml:space="preserve">10 - Negozi </w:t>
            </w:r>
            <w:proofErr w:type="spellStart"/>
            <w:r w:rsidRPr="00C3515F">
              <w:rPr>
                <w:rFonts w:ascii="Calibri" w:eastAsia="Times New Roman" w:hAnsi="Calibri" w:cs="Calibri"/>
                <w:color w:val="000000"/>
                <w:lang w:eastAsia="it-IT"/>
              </w:rPr>
              <w:t>abbigl</w:t>
            </w:r>
            <w:proofErr w:type="spellEnd"/>
            <w:r w:rsidRPr="00C3515F">
              <w:rPr>
                <w:rFonts w:ascii="Calibri" w:eastAsia="Times New Roman" w:hAnsi="Calibri" w:cs="Calibri"/>
                <w:color w:val="000000"/>
                <w:lang w:eastAsia="it-IT"/>
              </w:rPr>
              <w:t xml:space="preserve">., calzature, libreria, </w:t>
            </w:r>
            <w:proofErr w:type="spellStart"/>
            <w:r w:rsidRPr="00C3515F">
              <w:rPr>
                <w:rFonts w:ascii="Calibri" w:eastAsia="Times New Roman" w:hAnsi="Calibri" w:cs="Calibri"/>
                <w:color w:val="000000"/>
                <w:lang w:eastAsia="it-IT"/>
              </w:rPr>
              <w:t>cartol</w:t>
            </w:r>
            <w:proofErr w:type="spellEnd"/>
            <w:r w:rsidRPr="00C3515F">
              <w:rPr>
                <w:rFonts w:ascii="Calibri" w:eastAsia="Times New Roman" w:hAnsi="Calibri" w:cs="Calibri"/>
                <w:color w:val="000000"/>
                <w:lang w:eastAsia="it-IT"/>
              </w:rPr>
              <w:t xml:space="preserve">., </w:t>
            </w:r>
            <w:proofErr w:type="spellStart"/>
            <w:r w:rsidRPr="00C3515F">
              <w:rPr>
                <w:rFonts w:ascii="Calibri" w:eastAsia="Times New Roman" w:hAnsi="Calibri" w:cs="Calibri"/>
                <w:color w:val="000000"/>
                <w:lang w:eastAsia="it-IT"/>
              </w:rPr>
              <w:t>ferram</w:t>
            </w:r>
            <w:proofErr w:type="spellEnd"/>
            <w:r w:rsidRPr="00C3515F">
              <w:rPr>
                <w:rFonts w:ascii="Calibri" w:eastAsia="Times New Roman" w:hAnsi="Calibri" w:cs="Calibri"/>
                <w:color w:val="000000"/>
                <w:lang w:eastAsia="it-IT"/>
              </w:rPr>
              <w:t>. e altri beni durevoli</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3.328,00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3.328,00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 xml:space="preserve">11 - Edicola, farmacia, tabaccaio, </w:t>
            </w:r>
            <w:proofErr w:type="spellStart"/>
            <w:r w:rsidRPr="00C3515F">
              <w:rPr>
                <w:rFonts w:ascii="Calibri" w:eastAsia="Times New Roman" w:hAnsi="Calibri" w:cs="Calibri"/>
                <w:color w:val="000000"/>
                <w:lang w:eastAsia="it-IT"/>
              </w:rPr>
              <w:t>plurilicenze</w:t>
            </w:r>
            <w:proofErr w:type="spellEnd"/>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127,50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127,50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 xml:space="preserve">12 - Attività artigianali tipo botteghe: falegname, </w:t>
            </w:r>
            <w:proofErr w:type="spellStart"/>
            <w:r w:rsidRPr="00C3515F">
              <w:rPr>
                <w:rFonts w:ascii="Calibri" w:eastAsia="Times New Roman" w:hAnsi="Calibri" w:cs="Calibri"/>
                <w:color w:val="000000"/>
                <w:lang w:eastAsia="it-IT"/>
              </w:rPr>
              <w:t>idraul</w:t>
            </w:r>
            <w:proofErr w:type="spellEnd"/>
            <w:r w:rsidRPr="00C3515F">
              <w:rPr>
                <w:rFonts w:ascii="Calibri" w:eastAsia="Times New Roman" w:hAnsi="Calibri" w:cs="Calibri"/>
                <w:color w:val="000000"/>
                <w:lang w:eastAsia="it-IT"/>
              </w:rPr>
              <w:t xml:space="preserve">.,fabbro, </w:t>
            </w:r>
            <w:proofErr w:type="spellStart"/>
            <w:r w:rsidRPr="00C3515F">
              <w:rPr>
                <w:rFonts w:ascii="Calibri" w:eastAsia="Times New Roman" w:hAnsi="Calibri" w:cs="Calibri"/>
                <w:color w:val="000000"/>
                <w:lang w:eastAsia="it-IT"/>
              </w:rPr>
              <w:t>elettric</w:t>
            </w:r>
            <w:proofErr w:type="spellEnd"/>
            <w:r w:rsidRPr="00C3515F">
              <w:rPr>
                <w:rFonts w:ascii="Calibri" w:eastAsia="Times New Roman" w:hAnsi="Calibri" w:cs="Calibri"/>
                <w:color w:val="000000"/>
                <w:lang w:eastAsia="it-IT"/>
              </w:rPr>
              <w:t>., parrucchiere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1.725,63</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1.725,63</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13 - Carrozzeria, autofficina, elettrauto</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1.175,00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1.175,00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14 - Attività industriali con capannoni di produzione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12.167,00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12.167,00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15 - Attività artigianali di produzione beni specifici</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1.470,00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1.470,00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r w:rsidRPr="00C3515F">
              <w:rPr>
                <w:rFonts w:ascii="Calibri" w:eastAsia="Times New Roman" w:hAnsi="Calibri" w:cs="Calibri"/>
                <w:color w:val="000000"/>
                <w:lang w:eastAsia="it-IT"/>
              </w:rPr>
              <w:t>16 - Ristoranti, trattorie, osterie, pizzerie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844,00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844,00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lang w:eastAsia="it-IT"/>
              </w:rPr>
            </w:pPr>
            <w:r w:rsidRPr="00C3515F">
              <w:rPr>
                <w:rFonts w:ascii="Calibri" w:eastAsia="Times New Roman" w:hAnsi="Calibri" w:cs="Calibri"/>
                <w:lang w:eastAsia="it-IT"/>
              </w:rPr>
              <w:t>17 - Bar, caffè, pasticceria</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1.305,47</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1.305,47</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lang w:eastAsia="it-IT"/>
              </w:rPr>
            </w:pPr>
            <w:r w:rsidRPr="00C3515F">
              <w:rPr>
                <w:rFonts w:ascii="Calibri" w:eastAsia="Times New Roman" w:hAnsi="Calibri" w:cs="Calibri"/>
                <w:lang w:eastAsia="it-IT"/>
              </w:rPr>
              <w:t xml:space="preserve">18 - Supermercato, pane e pasta, macelleria, salumi e formaggi, generi </w:t>
            </w:r>
            <w:proofErr w:type="spellStart"/>
            <w:r w:rsidRPr="00C3515F">
              <w:rPr>
                <w:rFonts w:ascii="Calibri" w:eastAsia="Times New Roman" w:hAnsi="Calibri" w:cs="Calibri"/>
                <w:lang w:eastAsia="it-IT"/>
              </w:rPr>
              <w:t>alim</w:t>
            </w:r>
            <w:proofErr w:type="spellEnd"/>
            <w:r w:rsidRPr="00C3515F">
              <w:rPr>
                <w:rFonts w:ascii="Calibri" w:eastAsia="Times New Roman" w:hAnsi="Calibri" w:cs="Calibri"/>
                <w:lang w:eastAsia="it-IT"/>
              </w:rPr>
              <w:t>.</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1.135,00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1.135,00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lang w:eastAsia="it-IT"/>
              </w:rPr>
            </w:pPr>
            <w:r w:rsidRPr="00C3515F">
              <w:rPr>
                <w:rFonts w:ascii="Calibri" w:eastAsia="Times New Roman" w:hAnsi="Calibri" w:cs="Calibri"/>
                <w:lang w:eastAsia="it-IT"/>
              </w:rPr>
              <w:t xml:space="preserve">19 - </w:t>
            </w:r>
            <w:proofErr w:type="spellStart"/>
            <w:r w:rsidRPr="00C3515F">
              <w:rPr>
                <w:rFonts w:ascii="Calibri" w:eastAsia="Times New Roman" w:hAnsi="Calibri" w:cs="Calibri"/>
                <w:lang w:eastAsia="it-IT"/>
              </w:rPr>
              <w:t>Plurilicenze</w:t>
            </w:r>
            <w:proofErr w:type="spellEnd"/>
            <w:r w:rsidRPr="00C3515F">
              <w:rPr>
                <w:rFonts w:ascii="Calibri" w:eastAsia="Times New Roman" w:hAnsi="Calibri" w:cs="Calibri"/>
                <w:lang w:eastAsia="it-IT"/>
              </w:rPr>
              <w:t xml:space="preserve"> alimentari e/o miste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171,00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171,00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lang w:eastAsia="it-IT"/>
              </w:rPr>
            </w:pPr>
            <w:r w:rsidRPr="00C3515F">
              <w:rPr>
                <w:rFonts w:ascii="Calibri" w:eastAsia="Times New Roman" w:hAnsi="Calibri" w:cs="Calibri"/>
                <w:lang w:eastAsia="it-IT"/>
              </w:rPr>
              <w:t>20 - Ortofrutta, pescherie, fiori e piante</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173,20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173,20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lang w:eastAsia="it-IT"/>
              </w:rPr>
            </w:pPr>
            <w:r w:rsidRPr="00C3515F">
              <w:rPr>
                <w:rFonts w:ascii="Calibri" w:eastAsia="Times New Roman" w:hAnsi="Calibri" w:cs="Calibri"/>
                <w:lang w:eastAsia="it-IT"/>
              </w:rPr>
              <w:t>21 - Discoteche, night club</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591,00</w:t>
            </w: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p>
        </w:tc>
        <w:tc>
          <w:tcPr>
            <w:tcW w:w="506" w:type="pct"/>
            <w:tcBorders>
              <w:top w:val="nil"/>
              <w:left w:val="single" w:sz="4" w:space="0" w:color="auto"/>
              <w:bottom w:val="nil"/>
              <w:right w:val="single" w:sz="4" w:space="0" w:color="auto"/>
            </w:tcBorders>
            <w:shd w:val="clear" w:color="auto" w:fill="auto"/>
            <w:noWrap/>
            <w:vAlign w:val="bottom"/>
            <w:hideMark/>
          </w:tcPr>
          <w:p w:rsidR="00C3515F" w:rsidRPr="00C3515F" w:rsidRDefault="00C3515F" w:rsidP="00C3515F">
            <w:pPr>
              <w:spacing w:after="0" w:line="240" w:lineRule="auto"/>
              <w:jc w:val="right"/>
              <w:rPr>
                <w:rFonts w:ascii="Calibri" w:eastAsia="Times New Roman" w:hAnsi="Calibri" w:cs="Calibri"/>
                <w:color w:val="000000"/>
                <w:lang w:eastAsia="it-IT"/>
              </w:rPr>
            </w:pPr>
            <w:r w:rsidRPr="00C3515F">
              <w:rPr>
                <w:rFonts w:ascii="Calibri" w:eastAsia="Times New Roman" w:hAnsi="Calibri" w:cs="Calibri"/>
                <w:color w:val="000000"/>
                <w:lang w:eastAsia="it-IT"/>
              </w:rPr>
              <w:t>591,00</w:t>
            </w:r>
          </w:p>
        </w:tc>
      </w:tr>
      <w:tr w:rsidR="00C3515F" w:rsidRPr="00C3515F" w:rsidTr="00C3515F">
        <w:trPr>
          <w:trHeight w:val="288"/>
        </w:trPr>
        <w:tc>
          <w:tcPr>
            <w:tcW w:w="3702" w:type="pct"/>
            <w:tcBorders>
              <w:top w:val="nil"/>
              <w:left w:val="nil"/>
              <w:bottom w:val="nil"/>
              <w:right w:val="nil"/>
            </w:tcBorders>
            <w:shd w:val="clear" w:color="auto" w:fill="auto"/>
            <w:noWrap/>
            <w:vAlign w:val="bottom"/>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143" w:type="pct"/>
            <w:tcBorders>
              <w:top w:val="nil"/>
              <w:left w:val="nil"/>
              <w:bottom w:val="nil"/>
              <w:right w:val="nil"/>
            </w:tcBorders>
            <w:shd w:val="clear" w:color="auto" w:fill="auto"/>
            <w:hideMark/>
          </w:tcPr>
          <w:p w:rsidR="00C3515F" w:rsidRPr="00C3515F" w:rsidRDefault="00C3515F" w:rsidP="00C3515F">
            <w:pPr>
              <w:spacing w:after="0" w:line="240" w:lineRule="auto"/>
              <w:rPr>
                <w:rFonts w:ascii="Calibri" w:eastAsia="Times New Roman" w:hAnsi="Calibri" w:cs="Calibri"/>
                <w:color w:val="000000"/>
                <w:lang w:eastAsia="it-IT"/>
              </w:rPr>
            </w:pPr>
          </w:p>
        </w:tc>
        <w:tc>
          <w:tcPr>
            <w:tcW w:w="50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3515F" w:rsidRPr="00C3515F" w:rsidRDefault="00C3515F" w:rsidP="00C3515F">
            <w:pPr>
              <w:spacing w:after="0" w:line="240" w:lineRule="auto"/>
              <w:jc w:val="right"/>
              <w:rPr>
                <w:rFonts w:ascii="Calibri" w:eastAsia="Times New Roman" w:hAnsi="Calibri" w:cs="Calibri"/>
                <w:b/>
                <w:bCs/>
                <w:i/>
                <w:iCs/>
                <w:color w:val="000000"/>
                <w:lang w:eastAsia="it-IT"/>
              </w:rPr>
            </w:pPr>
            <w:r w:rsidRPr="00C3515F">
              <w:rPr>
                <w:rFonts w:ascii="Calibri" w:eastAsia="Times New Roman" w:hAnsi="Calibri" w:cs="Calibri"/>
                <w:b/>
                <w:bCs/>
                <w:i/>
                <w:iCs/>
                <w:color w:val="000000"/>
                <w:lang w:eastAsia="it-IT"/>
              </w:rPr>
              <w:t>32.930,54</w:t>
            </w:r>
          </w:p>
        </w:tc>
        <w:tc>
          <w:tcPr>
            <w:tcW w:w="143" w:type="pct"/>
            <w:tcBorders>
              <w:top w:val="nil"/>
              <w:left w:val="nil"/>
              <w:bottom w:val="nil"/>
              <w:right w:val="single" w:sz="4" w:space="0" w:color="auto"/>
            </w:tcBorders>
            <w:shd w:val="clear" w:color="auto" w:fill="auto"/>
            <w:hideMark/>
          </w:tcPr>
          <w:p w:rsidR="00C3515F" w:rsidRPr="00C3515F" w:rsidRDefault="00C3515F" w:rsidP="00C3515F">
            <w:pPr>
              <w:spacing w:after="0" w:line="240" w:lineRule="auto"/>
              <w:jc w:val="center"/>
              <w:rPr>
                <w:rFonts w:ascii="Calibri" w:eastAsia="Times New Roman" w:hAnsi="Calibri" w:cs="Calibri"/>
                <w:color w:val="000000"/>
                <w:lang w:eastAsia="it-IT"/>
              </w:rPr>
            </w:pPr>
            <w:r w:rsidRPr="00C3515F">
              <w:rPr>
                <w:rFonts w:ascii="Calibri" w:eastAsia="Times New Roman" w:hAnsi="Calibri" w:cs="Calibri"/>
                <w:color w:val="000000"/>
                <w:lang w:eastAsia="it-IT"/>
              </w:rPr>
              <w:t> </w:t>
            </w:r>
          </w:p>
        </w:tc>
        <w:tc>
          <w:tcPr>
            <w:tcW w:w="506" w:type="pct"/>
            <w:tcBorders>
              <w:top w:val="single" w:sz="4" w:space="0" w:color="auto"/>
              <w:left w:val="nil"/>
              <w:bottom w:val="single" w:sz="4" w:space="0" w:color="auto"/>
              <w:right w:val="single" w:sz="4" w:space="0" w:color="auto"/>
            </w:tcBorders>
            <w:shd w:val="clear" w:color="000000" w:fill="D8D8D8"/>
            <w:noWrap/>
            <w:vAlign w:val="bottom"/>
            <w:hideMark/>
          </w:tcPr>
          <w:p w:rsidR="00C3515F" w:rsidRPr="00C3515F" w:rsidRDefault="00C3515F" w:rsidP="00C3515F">
            <w:pPr>
              <w:spacing w:after="0" w:line="240" w:lineRule="auto"/>
              <w:jc w:val="right"/>
              <w:rPr>
                <w:rFonts w:ascii="Calibri" w:eastAsia="Times New Roman" w:hAnsi="Calibri" w:cs="Calibri"/>
                <w:b/>
                <w:bCs/>
                <w:i/>
                <w:iCs/>
                <w:color w:val="000000"/>
                <w:lang w:eastAsia="it-IT"/>
              </w:rPr>
            </w:pPr>
            <w:r w:rsidRPr="00C3515F">
              <w:rPr>
                <w:rFonts w:ascii="Calibri" w:eastAsia="Times New Roman" w:hAnsi="Calibri" w:cs="Calibri"/>
                <w:b/>
                <w:bCs/>
                <w:i/>
                <w:iCs/>
                <w:color w:val="000000"/>
                <w:lang w:eastAsia="it-IT"/>
              </w:rPr>
              <w:t>32.930,54</w:t>
            </w:r>
          </w:p>
        </w:tc>
      </w:tr>
    </w:tbl>
    <w:p w:rsidR="006F49B8" w:rsidRPr="007A1633" w:rsidRDefault="006F49B8" w:rsidP="006F49B8">
      <w:pPr>
        <w:pStyle w:val="Paragrafoelenco"/>
        <w:numPr>
          <w:ilvl w:val="0"/>
          <w:numId w:val="2"/>
        </w:numPr>
        <w:spacing w:line="240" w:lineRule="auto"/>
        <w:jc w:val="left"/>
        <w:rPr>
          <w:rFonts w:asciiTheme="minorHAnsi" w:hAnsiTheme="minorHAnsi"/>
          <w:b/>
          <w:bCs/>
          <w:iCs/>
          <w:szCs w:val="24"/>
        </w:rPr>
      </w:pPr>
      <w:r w:rsidRPr="007A1633">
        <w:rPr>
          <w:rFonts w:asciiTheme="minorHAnsi" w:hAnsiTheme="minorHAnsi"/>
          <w:b/>
          <w:bCs/>
          <w:iCs/>
          <w:szCs w:val="24"/>
        </w:rPr>
        <w:br w:type="page"/>
      </w:r>
      <w:r w:rsidRPr="007A1633">
        <w:rPr>
          <w:rFonts w:asciiTheme="minorHAnsi" w:hAnsiTheme="minorHAnsi"/>
          <w:b/>
          <w:bCs/>
          <w:iCs/>
          <w:szCs w:val="24"/>
        </w:rPr>
        <w:lastRenderedPageBreak/>
        <w:t>INDIVIDUAZIONE DEI COEFFICIENTI “K” PER LE UTENZE NON DOMESTICHE</w:t>
      </w:r>
    </w:p>
    <w:p w:rsidR="006F49B8" w:rsidRPr="002A6E1A" w:rsidRDefault="006F49B8" w:rsidP="006F49B8">
      <w:pPr>
        <w:spacing w:before="240" w:line="240" w:lineRule="auto"/>
        <w:rPr>
          <w:szCs w:val="24"/>
        </w:rPr>
      </w:pPr>
      <w:r w:rsidRPr="002A6E1A">
        <w:rPr>
          <w:szCs w:val="24"/>
        </w:rPr>
        <w:t>Per quanto riguarda le utenze non domestiche il D.P.R. 158 evidenzia, per entrambe le componenti (fissa e variabile) della tariffa, un intervallo minimo/massimo, all’interno del quale operare la scelta.</w:t>
      </w:r>
    </w:p>
    <w:p w:rsidR="00845EF5" w:rsidRPr="00845EF5" w:rsidRDefault="00845EF5" w:rsidP="00845EF5">
      <w:pPr>
        <w:spacing w:after="0" w:line="240" w:lineRule="auto"/>
        <w:rPr>
          <w:szCs w:val="24"/>
        </w:rPr>
      </w:pPr>
      <w:r w:rsidRPr="00845EF5">
        <w:rPr>
          <w:szCs w:val="24"/>
        </w:rPr>
        <w:t xml:space="preserve">Ai fini dell’applicazione del tributo per l’anno 2019, </w:t>
      </w:r>
      <w:r w:rsidRPr="00845EF5">
        <w:rPr>
          <w:rFonts w:ascii="Calibri" w:eastAsia="Calibri" w:hAnsi="Calibri" w:cs="Times New Roman"/>
          <w:szCs w:val="24"/>
        </w:rPr>
        <w:t>si è stabilito di utilizzare gli stessi coefficienti già personalizzati per il 2018 come da prospetto di cui sotto</w:t>
      </w:r>
      <w:r w:rsidRPr="00845EF5">
        <w:rPr>
          <w:szCs w:val="24"/>
        </w:rPr>
        <w:t>:</w:t>
      </w:r>
    </w:p>
    <w:p w:rsidR="006F49B8" w:rsidRDefault="006F49B8" w:rsidP="00845EF5">
      <w:pPr>
        <w:spacing w:after="0" w:line="240" w:lineRule="auto"/>
        <w:rPr>
          <w:szCs w:val="24"/>
        </w:rPr>
      </w:pPr>
      <w:r w:rsidRPr="00845EF5">
        <w:rPr>
          <w:szCs w:val="24"/>
        </w:rPr>
        <w:t>I coefficienti sono così determinati, distinti secondo la classificazione basata sull’attività svolta dal soggetto passivo del tributo:</w:t>
      </w:r>
    </w:p>
    <w:p w:rsidR="00845EF5" w:rsidRPr="002A6E1A" w:rsidRDefault="00845EF5" w:rsidP="00845EF5">
      <w:pPr>
        <w:spacing w:after="0" w:line="240" w:lineRule="auto"/>
        <w:rPr>
          <w:szCs w:val="24"/>
        </w:rPr>
      </w:pPr>
    </w:p>
    <w:tbl>
      <w:tblPr>
        <w:tblW w:w="14531" w:type="dxa"/>
        <w:tblInd w:w="51" w:type="dxa"/>
        <w:tblCellMar>
          <w:left w:w="70" w:type="dxa"/>
          <w:right w:w="70" w:type="dxa"/>
        </w:tblCellMar>
        <w:tblLook w:val="04A0" w:firstRow="1" w:lastRow="0" w:firstColumn="1" w:lastColumn="0" w:noHBand="0" w:noVBand="1"/>
      </w:tblPr>
      <w:tblGrid>
        <w:gridCol w:w="7063"/>
        <w:gridCol w:w="1972"/>
        <w:gridCol w:w="1973"/>
        <w:gridCol w:w="1691"/>
        <w:gridCol w:w="1832"/>
      </w:tblGrid>
      <w:tr w:rsidR="00CD2161" w:rsidRPr="002A6E1A" w:rsidTr="0064417A">
        <w:trPr>
          <w:trHeight w:val="339"/>
        </w:trPr>
        <w:tc>
          <w:tcPr>
            <w:tcW w:w="7063" w:type="dxa"/>
            <w:tcBorders>
              <w:top w:val="nil"/>
              <w:left w:val="nil"/>
              <w:bottom w:val="nil"/>
              <w:right w:val="nil"/>
            </w:tcBorders>
            <w:shd w:val="clear" w:color="auto" w:fill="auto"/>
            <w:noWrap/>
            <w:vAlign w:val="center"/>
            <w:hideMark/>
          </w:tcPr>
          <w:p w:rsidR="00CD2161" w:rsidRPr="002A6E1A" w:rsidRDefault="00CD2161" w:rsidP="00C521ED">
            <w:pPr>
              <w:spacing w:after="0" w:line="240" w:lineRule="auto"/>
              <w:jc w:val="center"/>
              <w:rPr>
                <w:rFonts w:ascii="Calibri" w:hAnsi="Calibri"/>
                <w:color w:val="000000"/>
              </w:rPr>
            </w:pPr>
          </w:p>
        </w:tc>
        <w:tc>
          <w:tcPr>
            <w:tcW w:w="197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w:t>
            </w:r>
          </w:p>
        </w:tc>
        <w:tc>
          <w:tcPr>
            <w:tcW w:w="1973"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 scelto DPR 158</w:t>
            </w:r>
          </w:p>
        </w:tc>
        <w:tc>
          <w:tcPr>
            <w:tcW w:w="1691" w:type="dxa"/>
            <w:tcBorders>
              <w:top w:val="single" w:sz="4" w:space="0" w:color="auto"/>
              <w:left w:val="nil"/>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p>
        </w:tc>
        <w:tc>
          <w:tcPr>
            <w:tcW w:w="1832"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r w:rsidRPr="002A6E1A">
              <w:rPr>
                <w:rFonts w:ascii="Calibri" w:hAnsi="Calibri"/>
                <w:b/>
                <w:bCs/>
                <w:color w:val="000000"/>
              </w:rPr>
              <w:t xml:space="preserve"> scelto DPR158</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01 - Musei, biblioteche, scuole, associazioni, luoghi di culto</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0,32 a 0,51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0,32</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2,6 a 4,2</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2,08</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02 - Campeggi, distributori carburante</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0,67 a 0,8</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0,80</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5,51 a 6,55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5,24</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 xml:space="preserve">03 - Stabilimenti balneari </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0,38 a 0,63</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0,38</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3,11 a 5,2</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2,48</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64417A">
            <w:pPr>
              <w:spacing w:after="0" w:line="240" w:lineRule="auto"/>
              <w:rPr>
                <w:rFonts w:ascii="Calibri" w:hAnsi="Calibri"/>
                <w:color w:val="000000"/>
              </w:rPr>
            </w:pPr>
            <w:r w:rsidRPr="002A6E1A">
              <w:rPr>
                <w:rFonts w:ascii="Calibri" w:hAnsi="Calibri"/>
                <w:color w:val="000000"/>
              </w:rPr>
              <w:t>04 -Esposizioni, autosaloni, magazzini e depositi senza attività di vendit</w:t>
            </w:r>
            <w:r w:rsidR="0064417A">
              <w:rPr>
                <w:rFonts w:ascii="Calibri" w:hAnsi="Calibri"/>
                <w:color w:val="000000"/>
              </w:rPr>
              <w:t>a…</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0,3 a 0,43</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0,39</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2,5 a 3,55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2,40</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64417A">
            <w:pPr>
              <w:spacing w:after="0" w:line="240" w:lineRule="auto"/>
              <w:rPr>
                <w:rFonts w:ascii="Calibri" w:hAnsi="Calibri"/>
                <w:color w:val="000000"/>
              </w:rPr>
            </w:pPr>
            <w:r w:rsidRPr="002A6E1A">
              <w:rPr>
                <w:rFonts w:ascii="Calibri" w:hAnsi="Calibri"/>
                <w:color w:val="000000"/>
              </w:rPr>
              <w:t>05 - Alberghi con ristorante, agriturismo con ristorazione, locali destinati</w:t>
            </w:r>
            <w:r w:rsidR="0064417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1,07 a 1,33</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1,07</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8,79 a 10,93</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7,03</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64417A">
            <w:pPr>
              <w:spacing w:after="0" w:line="240" w:lineRule="auto"/>
              <w:rPr>
                <w:rFonts w:ascii="Calibri" w:hAnsi="Calibri"/>
                <w:color w:val="000000"/>
              </w:rPr>
            </w:pPr>
            <w:r w:rsidRPr="002A6E1A">
              <w:rPr>
                <w:rFonts w:ascii="Calibri" w:hAnsi="Calibri"/>
                <w:color w:val="000000"/>
              </w:rPr>
              <w:t>06 - Alberghi senza ristorante, affittacamere per brevi soggiorni, case</w:t>
            </w:r>
            <w:r w:rsidR="0064417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0,8 a 0,91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0,91</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6,55 a 7,49</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5,98</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07 - Case di cura e riposo</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0,95 a 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0,95</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7,82 a 8,19</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6,25</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08 - Uffici, agenzie, studi professionali</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 a 1,13</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1,40</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8,21 a 9,3</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7,16</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09 - Banche ed istituti di credito</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0,55 a 0,58</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0,54</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4,5 a 4,78</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4,20</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 xml:space="preserve">10 - Negozi </w:t>
            </w:r>
            <w:proofErr w:type="spellStart"/>
            <w:r w:rsidRPr="002A6E1A">
              <w:rPr>
                <w:rFonts w:ascii="Calibri" w:hAnsi="Calibri"/>
                <w:color w:val="000000"/>
              </w:rPr>
              <w:t>abbigl</w:t>
            </w:r>
            <w:proofErr w:type="spellEnd"/>
            <w:r w:rsidRPr="002A6E1A">
              <w:rPr>
                <w:rFonts w:ascii="Calibri" w:hAnsi="Calibri"/>
                <w:color w:val="000000"/>
              </w:rPr>
              <w:t xml:space="preserve">., calzature, libreria, </w:t>
            </w:r>
            <w:proofErr w:type="spellStart"/>
            <w:r w:rsidRPr="002A6E1A">
              <w:rPr>
                <w:rFonts w:ascii="Calibri" w:hAnsi="Calibri"/>
                <w:color w:val="000000"/>
              </w:rPr>
              <w:t>cartol</w:t>
            </w:r>
            <w:proofErr w:type="spellEnd"/>
            <w:r w:rsidRPr="002A6E1A">
              <w:rPr>
                <w:rFonts w:ascii="Calibri" w:hAnsi="Calibri"/>
                <w:color w:val="000000"/>
              </w:rPr>
              <w:t xml:space="preserve">., </w:t>
            </w:r>
            <w:proofErr w:type="spellStart"/>
            <w:r w:rsidRPr="002A6E1A">
              <w:rPr>
                <w:rFonts w:ascii="Calibri" w:hAnsi="Calibri"/>
                <w:color w:val="000000"/>
              </w:rPr>
              <w:t>ferram</w:t>
            </w:r>
            <w:proofErr w:type="spellEnd"/>
            <w:r w:rsidRPr="002A6E1A">
              <w:rPr>
                <w:rFonts w:ascii="Calibri" w:hAnsi="Calibri"/>
                <w:color w:val="000000"/>
              </w:rPr>
              <w:t>. e altri beni durevoli</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0,87 a 1,11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1,11</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7,11 a 9,12</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7,29</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 xml:space="preserve">11 - Edicola, farmacia, tabaccaio, </w:t>
            </w:r>
            <w:proofErr w:type="spellStart"/>
            <w:r w:rsidRPr="002A6E1A">
              <w:rPr>
                <w:rFonts w:ascii="Calibri" w:hAnsi="Calibri"/>
                <w:color w:val="000000"/>
              </w:rPr>
              <w:t>plurilicenze</w:t>
            </w:r>
            <w:proofErr w:type="spellEnd"/>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1,07 a 1,52</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1,07</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8,8 a 12,45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7,04</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64417A">
            <w:pPr>
              <w:spacing w:after="0" w:line="240" w:lineRule="auto"/>
              <w:rPr>
                <w:rFonts w:ascii="Calibri" w:hAnsi="Calibri"/>
                <w:color w:val="000000"/>
              </w:rPr>
            </w:pPr>
            <w:r w:rsidRPr="002A6E1A">
              <w:rPr>
                <w:rFonts w:ascii="Calibri" w:hAnsi="Calibri"/>
                <w:color w:val="000000"/>
              </w:rPr>
              <w:t xml:space="preserve">12 - Attività artigianali tipo botteghe: falegname, </w:t>
            </w:r>
            <w:proofErr w:type="spellStart"/>
            <w:r w:rsidRPr="002A6E1A">
              <w:rPr>
                <w:rFonts w:ascii="Calibri" w:hAnsi="Calibri"/>
                <w:color w:val="000000"/>
              </w:rPr>
              <w:t>idraul</w:t>
            </w:r>
            <w:proofErr w:type="spellEnd"/>
            <w:r w:rsidRPr="002A6E1A">
              <w:rPr>
                <w:rFonts w:ascii="Calibri" w:hAnsi="Calibri"/>
                <w:color w:val="000000"/>
              </w:rPr>
              <w:t>.,fabbro, elettri</w:t>
            </w:r>
            <w:r w:rsidR="0064417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0,72 a 1,04</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0,72</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5,9 a 8,5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4,72</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13 - Carrozzeria, autofficina, elettrauto</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0,92 a 1,16</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0,92</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7,55 a 9,48</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6,04</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14 - Attività industriali con capannoni di produzione</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0,43 a 0,91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0,98</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3,5 a 7,5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7,38</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15 - Attività artigianali di produzione beni specifici</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0,55 a 1,09</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1,09</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4,5 a 8,92</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7,13</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16 - Ristoranti, trattorie, osterie, pizzerie</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4,84 a 7,42</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2,42</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39,67 a 60,88</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19,83</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17 - Bar, caffè, pasticceria</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3,64 a 6,28</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1,82</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29,82 a 51,47</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14,91</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64417A">
            <w:pPr>
              <w:spacing w:after="0" w:line="240" w:lineRule="auto"/>
              <w:rPr>
                <w:rFonts w:ascii="Calibri" w:hAnsi="Calibri"/>
                <w:color w:val="000000"/>
              </w:rPr>
            </w:pPr>
            <w:r w:rsidRPr="002A6E1A">
              <w:rPr>
                <w:rFonts w:ascii="Calibri" w:hAnsi="Calibri"/>
                <w:color w:val="000000"/>
              </w:rPr>
              <w:t xml:space="preserve">18 - Supermercato, pane e pasta, macelleria, salumi e formaggi, generi </w:t>
            </w:r>
            <w:r w:rsidR="0064417A">
              <w:rPr>
                <w:rFonts w:ascii="Calibri" w:hAnsi="Calibri"/>
                <w:color w:val="000000"/>
              </w:rPr>
              <w:t>..</w:t>
            </w:r>
            <w:r w:rsidRPr="002A6E1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1,76 a 2,38</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1,76</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14,43 a 19,55</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11,54</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 xml:space="preserve">19 - </w:t>
            </w:r>
            <w:proofErr w:type="spellStart"/>
            <w:r w:rsidRPr="002A6E1A">
              <w:rPr>
                <w:rFonts w:ascii="Calibri" w:hAnsi="Calibri"/>
                <w:color w:val="000000"/>
              </w:rPr>
              <w:t>Plurilicenze</w:t>
            </w:r>
            <w:proofErr w:type="spellEnd"/>
            <w:r w:rsidRPr="002A6E1A">
              <w:rPr>
                <w:rFonts w:ascii="Calibri" w:hAnsi="Calibri"/>
                <w:color w:val="000000"/>
              </w:rPr>
              <w:t xml:space="preserve"> alimentari e/o miste</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1,54 a 2,61</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1,54</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12,59 a 21,41</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10,07</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t>20 - Ortofrutta, pescherie, fiori e piante</w:t>
            </w:r>
          </w:p>
        </w:tc>
        <w:tc>
          <w:tcPr>
            <w:tcW w:w="1972" w:type="dxa"/>
            <w:tcBorders>
              <w:top w:val="nil"/>
              <w:left w:val="single" w:sz="4" w:space="0" w:color="auto"/>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6,06 a 10,44</w:t>
            </w:r>
          </w:p>
        </w:tc>
        <w:tc>
          <w:tcPr>
            <w:tcW w:w="1973"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1,75</w:t>
            </w:r>
          </w:p>
        </w:tc>
        <w:tc>
          <w:tcPr>
            <w:tcW w:w="1691"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49,72 a 85,6</w:t>
            </w:r>
          </w:p>
        </w:tc>
        <w:tc>
          <w:tcPr>
            <w:tcW w:w="1832" w:type="dxa"/>
            <w:tcBorders>
              <w:top w:val="nil"/>
              <w:left w:val="nil"/>
              <w:bottom w:val="nil"/>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24,86</w:t>
            </w:r>
          </w:p>
        </w:tc>
      </w:tr>
      <w:tr w:rsidR="00CD2161" w:rsidRPr="002A6E1A" w:rsidTr="0064417A">
        <w:trPr>
          <w:trHeight w:val="339"/>
        </w:trPr>
        <w:tc>
          <w:tcPr>
            <w:tcW w:w="7063" w:type="dxa"/>
            <w:tcBorders>
              <w:top w:val="nil"/>
              <w:left w:val="nil"/>
              <w:bottom w:val="nil"/>
              <w:right w:val="nil"/>
            </w:tcBorders>
            <w:shd w:val="clear" w:color="auto" w:fill="auto"/>
            <w:noWrap/>
            <w:vAlign w:val="bottom"/>
            <w:hideMark/>
          </w:tcPr>
          <w:p w:rsidR="00CD2161" w:rsidRPr="002A6E1A" w:rsidRDefault="00CD2161" w:rsidP="00C521ED">
            <w:pPr>
              <w:spacing w:after="0" w:line="240" w:lineRule="auto"/>
              <w:rPr>
                <w:rFonts w:ascii="Calibri" w:hAnsi="Calibri"/>
                <w:color w:val="000000"/>
              </w:rPr>
            </w:pPr>
            <w:r w:rsidRPr="002A6E1A">
              <w:rPr>
                <w:rFonts w:ascii="Calibri" w:hAnsi="Calibri"/>
                <w:color w:val="000000"/>
              </w:rPr>
              <w:lastRenderedPageBreak/>
              <w:t>21 - Discoteche, night club</w:t>
            </w:r>
          </w:p>
        </w:tc>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1,04 a 1,64</w:t>
            </w:r>
          </w:p>
        </w:tc>
        <w:tc>
          <w:tcPr>
            <w:tcW w:w="1973" w:type="dxa"/>
            <w:tcBorders>
              <w:top w:val="nil"/>
              <w:left w:val="nil"/>
              <w:bottom w:val="single" w:sz="4" w:space="0" w:color="auto"/>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rPr>
            </w:pPr>
            <w:r>
              <w:rPr>
                <w:rFonts w:ascii="Calibri" w:hAnsi="Calibri" w:cs="Calibri"/>
              </w:rPr>
              <w:t>1,04</w:t>
            </w:r>
          </w:p>
        </w:tc>
        <w:tc>
          <w:tcPr>
            <w:tcW w:w="1691" w:type="dxa"/>
            <w:tcBorders>
              <w:top w:val="nil"/>
              <w:left w:val="nil"/>
              <w:bottom w:val="single" w:sz="4" w:space="0" w:color="auto"/>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i/>
                <w:iCs/>
                <w:color w:val="000000"/>
              </w:rPr>
            </w:pPr>
            <w:r>
              <w:rPr>
                <w:rFonts w:ascii="Calibri" w:hAnsi="Calibri" w:cs="Calibri"/>
                <w:i/>
                <w:iCs/>
                <w:color w:val="000000"/>
              </w:rPr>
              <w:t>da 8,56 a 13,45</w:t>
            </w:r>
          </w:p>
        </w:tc>
        <w:tc>
          <w:tcPr>
            <w:tcW w:w="1832" w:type="dxa"/>
            <w:tcBorders>
              <w:top w:val="nil"/>
              <w:left w:val="nil"/>
              <w:bottom w:val="single" w:sz="4" w:space="0" w:color="auto"/>
              <w:right w:val="single" w:sz="4" w:space="0" w:color="auto"/>
            </w:tcBorders>
            <w:shd w:val="clear" w:color="auto" w:fill="auto"/>
            <w:noWrap/>
            <w:vAlign w:val="center"/>
            <w:hideMark/>
          </w:tcPr>
          <w:p w:rsidR="00CD2161" w:rsidRDefault="00CD2161" w:rsidP="0064417A">
            <w:pPr>
              <w:spacing w:after="0" w:line="240" w:lineRule="auto"/>
              <w:jc w:val="center"/>
              <w:rPr>
                <w:rFonts w:ascii="Calibri" w:hAnsi="Calibri" w:cs="Calibri"/>
                <w:color w:val="FF0000"/>
              </w:rPr>
            </w:pPr>
            <w:r>
              <w:rPr>
                <w:rFonts w:ascii="Calibri" w:hAnsi="Calibri" w:cs="Calibri"/>
                <w:color w:val="FF0000"/>
              </w:rPr>
              <w:t>6,84</w:t>
            </w:r>
          </w:p>
        </w:tc>
      </w:tr>
    </w:tbl>
    <w:p w:rsidR="006F49B8" w:rsidRDefault="006F49B8" w:rsidP="009E5094">
      <w:pPr>
        <w:spacing w:after="0"/>
        <w:rPr>
          <w:szCs w:val="24"/>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DOMESTICHE</w:t>
      </w:r>
    </w:p>
    <w:p w:rsidR="006F49B8" w:rsidRPr="00485509" w:rsidRDefault="006F49B8" w:rsidP="006F49B8">
      <w:pPr>
        <w:spacing w:before="120"/>
        <w:rPr>
          <w:szCs w:val="24"/>
        </w:rPr>
      </w:pPr>
      <w:r w:rsidRPr="00485509">
        <w:rPr>
          <w:szCs w:val="24"/>
        </w:rPr>
        <w:t>Il procedimento fin qui descritto porta, attraverso il percorso di calcolo stabilito dal D.P.R. 158/1999, al calcolo delle tariffe per ciascuna categoria di utenza domestica,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DOMESTICHE” sono rilevabili entrambe le componenti, dettagliate per ciascuna classificazione e corredate del completo percorso dei calcoli che hanno condotto alla loro formazione.</w:t>
      </w:r>
    </w:p>
    <w:p w:rsidR="006F49B8"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w:t>
      </w:r>
    </w:p>
    <w:p w:rsidR="006F49B8" w:rsidRDefault="006F49B8" w:rsidP="006F49B8">
      <w:pPr>
        <w:spacing w:before="120" w:after="120"/>
        <w:rPr>
          <w:sz w:val="20"/>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NON DOMESTICHE</w:t>
      </w:r>
    </w:p>
    <w:p w:rsidR="006F49B8" w:rsidRPr="00485509" w:rsidRDefault="006F49B8" w:rsidP="006F49B8">
      <w:pPr>
        <w:spacing w:before="120"/>
        <w:rPr>
          <w:szCs w:val="24"/>
        </w:rPr>
      </w:pPr>
      <w:r w:rsidRPr="00485509">
        <w:rPr>
          <w:szCs w:val="24"/>
        </w:rPr>
        <w:t>Quanto appena detto per le utenze domestiche è applicabile anche alle utenze di tipo non domestico, attraverso il calcolo delle tariffe per ciascuna categoria di utenza,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NON DOMESTICHE” sono rilevabili entrambe le componenti, dettagliate per ciascuna classificazione e corredate del completo percorso dei calcoli che hanno condotto alla loro formazione.</w:t>
      </w:r>
    </w:p>
    <w:p w:rsidR="006F49B8" w:rsidRPr="00E7086D"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 relativamente alle principali categorie di attività economiche presenti sul territorio del Comune.</w:t>
      </w:r>
    </w:p>
    <w:p w:rsidR="006F49B8" w:rsidRDefault="006F49B8"/>
    <w:sectPr w:rsidR="006F49B8" w:rsidSect="006F49B8">
      <w:headerReference w:type="default" r:id="rId11"/>
      <w:footerReference w:type="default" r:id="rId12"/>
      <w:pgSz w:w="16838" w:h="11906" w:orient="landscape"/>
      <w:pgMar w:top="1134" w:right="1417" w:bottom="1134" w:left="1134"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550" w:rsidRDefault="00707550" w:rsidP="006F49B8">
      <w:pPr>
        <w:spacing w:after="0" w:line="240" w:lineRule="auto"/>
      </w:pPr>
      <w:r>
        <w:separator/>
      </w:r>
    </w:p>
  </w:endnote>
  <w:endnote w:type="continuationSeparator" w:id="0">
    <w:p w:rsidR="00707550" w:rsidRDefault="00707550" w:rsidP="006F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594"/>
      <w:docPartObj>
        <w:docPartGallery w:val="Page Numbers (Bottom of Page)"/>
        <w:docPartUnique/>
      </w:docPartObj>
    </w:sdtPr>
    <w:sdtEndPr/>
    <w:sdtContent>
      <w:p w:rsidR="009E4D09" w:rsidRDefault="009E4D09">
        <w:pPr>
          <w:pStyle w:val="Pidipagina"/>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81"/>
          <w:gridCol w:w="12806"/>
        </w:tblGrid>
        <w:tr w:rsidR="009E4D09" w:rsidRPr="00753DB1" w:rsidTr="00652817">
          <w:tc>
            <w:tcPr>
              <w:tcW w:w="918" w:type="dxa"/>
            </w:tcPr>
            <w:p w:rsidR="009E4D09" w:rsidRPr="00753DB1" w:rsidRDefault="00D1625A" w:rsidP="00652817">
              <w:pPr>
                <w:pStyle w:val="Pidipagina"/>
                <w:jc w:val="right"/>
                <w:rPr>
                  <w:b/>
                  <w:color w:val="000000" w:themeColor="text1"/>
                  <w:sz w:val="20"/>
                </w:rPr>
              </w:pPr>
              <w:r w:rsidRPr="00753DB1">
                <w:rPr>
                  <w:color w:val="000000" w:themeColor="text1"/>
                  <w:sz w:val="20"/>
                </w:rPr>
                <w:fldChar w:fldCharType="begin"/>
              </w:r>
              <w:r w:rsidR="009E4D09" w:rsidRPr="00753DB1">
                <w:rPr>
                  <w:color w:val="000000" w:themeColor="text1"/>
                  <w:sz w:val="20"/>
                </w:rPr>
                <w:instrText xml:space="preserve"> PAGE   \* MERGEFORMAT </w:instrText>
              </w:r>
              <w:r w:rsidRPr="00753DB1">
                <w:rPr>
                  <w:color w:val="000000" w:themeColor="text1"/>
                  <w:sz w:val="20"/>
                </w:rPr>
                <w:fldChar w:fldCharType="separate"/>
              </w:r>
              <w:r w:rsidR="00AC6E0C" w:rsidRPr="00AC6E0C">
                <w:rPr>
                  <w:b/>
                  <w:noProof/>
                  <w:color w:val="000000" w:themeColor="text1"/>
                  <w:sz w:val="20"/>
                </w:rPr>
                <w:t>6</w:t>
              </w:r>
              <w:r w:rsidRPr="00753DB1">
                <w:rPr>
                  <w:color w:val="000000" w:themeColor="text1"/>
                  <w:sz w:val="20"/>
                </w:rPr>
                <w:fldChar w:fldCharType="end"/>
              </w:r>
            </w:p>
          </w:tc>
          <w:tc>
            <w:tcPr>
              <w:tcW w:w="7938" w:type="dxa"/>
            </w:tcPr>
            <w:p w:rsidR="009E4D09" w:rsidRPr="00753DB1" w:rsidRDefault="009E4D09" w:rsidP="00652817">
              <w:pPr>
                <w:pStyle w:val="Pidipagina"/>
                <w:rPr>
                  <w:color w:val="000000" w:themeColor="text1"/>
                  <w:sz w:val="20"/>
                </w:rPr>
              </w:pPr>
            </w:p>
          </w:tc>
        </w:tr>
      </w:tbl>
      <w:p w:rsidR="009E4D09" w:rsidRDefault="00707550">
        <w:pPr>
          <w:pStyle w:val="Pidipagina"/>
        </w:pPr>
      </w:p>
    </w:sdtContent>
  </w:sdt>
  <w:p w:rsidR="009E4D09" w:rsidRDefault="009E4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550" w:rsidRDefault="00707550" w:rsidP="006F49B8">
      <w:pPr>
        <w:spacing w:after="0" w:line="240" w:lineRule="auto"/>
      </w:pPr>
      <w:r>
        <w:separator/>
      </w:r>
    </w:p>
  </w:footnote>
  <w:footnote w:type="continuationSeparator" w:id="0">
    <w:p w:rsidR="00707550" w:rsidRDefault="00707550" w:rsidP="006F4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794"/>
      <w:gridCol w:w="830"/>
    </w:tblGrid>
    <w:tr w:rsidR="009E4D09" w:rsidRPr="00753DB1" w:rsidTr="00652817">
      <w:trPr>
        <w:trHeight w:val="345"/>
      </w:trPr>
      <w:tc>
        <w:tcPr>
          <w:tcW w:w="14027" w:type="dxa"/>
        </w:tcPr>
        <w:p w:rsidR="009E4D09" w:rsidRPr="00753DB1" w:rsidRDefault="009E4D09" w:rsidP="006F49B8">
          <w:pPr>
            <w:pStyle w:val="Intestazione"/>
            <w:rPr>
              <w:rFonts w:eastAsiaTheme="majorEastAsia" w:cstheme="majorBidi"/>
              <w:sz w:val="36"/>
              <w:szCs w:val="36"/>
            </w:rPr>
          </w:pPr>
          <w:r w:rsidRPr="00753DB1">
            <w:rPr>
              <w:rFonts w:eastAsiaTheme="majorEastAsia" w:cstheme="majorBidi"/>
              <w:noProof/>
              <w:sz w:val="36"/>
              <w:szCs w:val="36"/>
              <w:lang w:eastAsia="it-IT"/>
            </w:rPr>
            <w:drawing>
              <wp:inline distT="0" distB="0" distL="0" distR="0">
                <wp:extent cx="937629" cy="313484"/>
                <wp:effectExtent l="19050" t="0" r="0" b="0"/>
                <wp:docPr id="11" name="Immagine 10" descr="MaggioliTribu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gioliTributi.png"/>
                        <pic:cNvPicPr/>
                      </pic:nvPicPr>
                      <pic:blipFill>
                        <a:blip r:embed="rId1"/>
                        <a:stretch>
                          <a:fillRect/>
                        </a:stretch>
                      </pic:blipFill>
                      <pic:spPr>
                        <a:xfrm>
                          <a:off x="0" y="0"/>
                          <a:ext cx="943338" cy="315393"/>
                        </a:xfrm>
                        <a:prstGeom prst="rect">
                          <a:avLst/>
                        </a:prstGeom>
                      </pic:spPr>
                    </pic:pic>
                  </a:graphicData>
                </a:graphic>
              </wp:inline>
            </w:drawing>
          </w:r>
          <w:r w:rsidRPr="00753DB1">
            <w:rPr>
              <w:rFonts w:cs="Calibri"/>
              <w:b/>
              <w:i/>
              <w:iCs/>
              <w:caps/>
              <w:color w:val="FF0000"/>
              <w:sz w:val="32"/>
              <w:szCs w:val="32"/>
            </w:rPr>
            <w:t xml:space="preserve">                                                                                       </w:t>
          </w:r>
          <w:r>
            <w:rPr>
              <w:rFonts w:cs="Calibri"/>
              <w:b/>
              <w:i/>
              <w:iCs/>
              <w:caps/>
              <w:color w:val="FF0000"/>
              <w:sz w:val="32"/>
              <w:szCs w:val="32"/>
            </w:rPr>
            <w:t xml:space="preserve">                            </w:t>
          </w:r>
          <w:r w:rsidRPr="00753DB1">
            <w:rPr>
              <w:rFonts w:ascii="Calibri" w:hAnsi="Calibri" w:cs="Calibri"/>
              <w:b/>
              <w:i/>
              <w:iCs/>
              <w:caps/>
              <w:color w:val="000000"/>
            </w:rPr>
            <w:t xml:space="preserve">Piano Finanziario </w:t>
          </w:r>
          <w:r>
            <w:rPr>
              <w:rFonts w:ascii="Calibri" w:hAnsi="Calibri" w:cs="Calibri"/>
              <w:b/>
              <w:i/>
              <w:iCs/>
              <w:caps/>
              <w:color w:val="000000"/>
            </w:rPr>
            <w:t>– RELAZIONE TECNICA</w:t>
          </w:r>
        </w:p>
      </w:tc>
      <w:sdt>
        <w:sdtPr>
          <w:rPr>
            <w:rFonts w:eastAsiaTheme="majorEastAsia" w:cstheme="majorBidi"/>
            <w:b/>
            <w:bCs/>
            <w:color w:val="000000" w:themeColor="text1"/>
          </w:rPr>
          <w:alias w:val="Anno"/>
          <w:id w:val="77761609"/>
          <w:dataBinding w:prefixMappings="xmlns:ns0='http://schemas.microsoft.com/office/2006/coverPageProps'" w:xpath="/ns0:CoverPageProperties[1]/ns0:PublishDate[1]" w:storeItemID="{55AF091B-3C7A-41E3-B477-F2FDAA23CFDA}"/>
          <w:date w:fullDate="2019-01-01T00:00:00Z">
            <w:dateFormat w:val="yyyy"/>
            <w:lid w:val="it-IT"/>
            <w:storeMappedDataAs w:val="dateTime"/>
            <w:calendar w:val="gregorian"/>
          </w:date>
        </w:sdtPr>
        <w:sdtEndPr/>
        <w:sdtContent>
          <w:tc>
            <w:tcPr>
              <w:tcW w:w="833" w:type="dxa"/>
              <w:vAlign w:val="bottom"/>
            </w:tcPr>
            <w:p w:rsidR="009E4D09" w:rsidRPr="00753DB1" w:rsidRDefault="009E4D09" w:rsidP="00F57C1D">
              <w:pPr>
                <w:pStyle w:val="Intestazione"/>
                <w:jc w:val="center"/>
                <w:rPr>
                  <w:rFonts w:eastAsiaTheme="majorEastAsia" w:cstheme="majorBidi"/>
                  <w:b/>
                  <w:bCs/>
                  <w:color w:val="000000" w:themeColor="text1"/>
                </w:rPr>
              </w:pPr>
              <w:r>
                <w:rPr>
                  <w:rFonts w:eastAsiaTheme="majorEastAsia" w:cstheme="majorBidi"/>
                  <w:b/>
                  <w:bCs/>
                  <w:color w:val="000000" w:themeColor="text1"/>
                </w:rPr>
                <w:t>2019</w:t>
              </w:r>
            </w:p>
          </w:tc>
        </w:sdtContent>
      </w:sdt>
    </w:tr>
  </w:tbl>
  <w:p w:rsidR="009E4D09" w:rsidRDefault="009E4D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astellinamarittima.gif" style="width:300pt;height:303.75pt;visibility:visible;mso-wrap-style:square" o:bullet="t">
        <v:imagedata r:id="rId1" o:title="castellinamarittima"/>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9F4492B"/>
    <w:multiLevelType w:val="hybridMultilevel"/>
    <w:tmpl w:val="E34801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423AA"/>
    <w:multiLevelType w:val="hybridMultilevel"/>
    <w:tmpl w:val="FA02BF5C"/>
    <w:lvl w:ilvl="0" w:tplc="B1A493B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EB0D0E"/>
    <w:multiLevelType w:val="hybridMultilevel"/>
    <w:tmpl w:val="92A07BD8"/>
    <w:lvl w:ilvl="0" w:tplc="F140EF1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C553F"/>
    <w:multiLevelType w:val="hybridMultilevel"/>
    <w:tmpl w:val="2EBC3A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9520A1"/>
    <w:multiLevelType w:val="hybridMultilevel"/>
    <w:tmpl w:val="041AB6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BC08FA"/>
    <w:multiLevelType w:val="hybridMultilevel"/>
    <w:tmpl w:val="3F60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C614DF"/>
    <w:multiLevelType w:val="multilevel"/>
    <w:tmpl w:val="F654B7DA"/>
    <w:lvl w:ilvl="0">
      <w:start w:val="38"/>
      <w:numFmt w:val="decimal"/>
      <w:lvlText w:val="%1"/>
      <w:lvlJc w:val="left"/>
      <w:pPr>
        <w:ind w:left="585" w:hanging="585"/>
      </w:pPr>
      <w:rPr>
        <w:rFonts w:hint="default"/>
      </w:rPr>
    </w:lvl>
    <w:lvl w:ilvl="1">
      <w:start w:val="871"/>
      <w:numFmt w:val="decimal"/>
      <w:lvlText w:val="%1.%2"/>
      <w:lvlJc w:val="left"/>
      <w:pPr>
        <w:ind w:left="2460" w:hanging="585"/>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345" w:hanging="72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455"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565" w:hanging="1440"/>
      </w:pPr>
      <w:rPr>
        <w:rFonts w:hint="default"/>
      </w:rPr>
    </w:lvl>
    <w:lvl w:ilvl="8">
      <w:start w:val="1"/>
      <w:numFmt w:val="decimal"/>
      <w:lvlText w:val="%1.%2.%3.%4.%5.%6.%7.%8.%9"/>
      <w:lvlJc w:val="left"/>
      <w:pPr>
        <w:ind w:left="16800" w:hanging="1800"/>
      </w:pPr>
      <w:rPr>
        <w:rFonts w:hint="default"/>
      </w:r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B8"/>
    <w:rsid w:val="0002488F"/>
    <w:rsid w:val="00076428"/>
    <w:rsid w:val="000A7F23"/>
    <w:rsid w:val="00111031"/>
    <w:rsid w:val="0013018C"/>
    <w:rsid w:val="00147B09"/>
    <w:rsid w:val="00211866"/>
    <w:rsid w:val="00217183"/>
    <w:rsid w:val="00226A67"/>
    <w:rsid w:val="00230B59"/>
    <w:rsid w:val="002339BA"/>
    <w:rsid w:val="00274035"/>
    <w:rsid w:val="002D7464"/>
    <w:rsid w:val="002F4083"/>
    <w:rsid w:val="0033638D"/>
    <w:rsid w:val="003957FE"/>
    <w:rsid w:val="003A1756"/>
    <w:rsid w:val="003E4D4C"/>
    <w:rsid w:val="004B4BC2"/>
    <w:rsid w:val="004F269D"/>
    <w:rsid w:val="00510A71"/>
    <w:rsid w:val="00540E90"/>
    <w:rsid w:val="005511E2"/>
    <w:rsid w:val="00592887"/>
    <w:rsid w:val="005B71B1"/>
    <w:rsid w:val="005C6885"/>
    <w:rsid w:val="005D674D"/>
    <w:rsid w:val="00607DD3"/>
    <w:rsid w:val="00621BBF"/>
    <w:rsid w:val="0064417A"/>
    <w:rsid w:val="00652817"/>
    <w:rsid w:val="006663E4"/>
    <w:rsid w:val="006E5755"/>
    <w:rsid w:val="006F47C3"/>
    <w:rsid w:val="006F49B8"/>
    <w:rsid w:val="00707550"/>
    <w:rsid w:val="00707B1E"/>
    <w:rsid w:val="00723AFE"/>
    <w:rsid w:val="00731CF5"/>
    <w:rsid w:val="00763063"/>
    <w:rsid w:val="007A59CF"/>
    <w:rsid w:val="007D78A0"/>
    <w:rsid w:val="00800684"/>
    <w:rsid w:val="00845EF5"/>
    <w:rsid w:val="00846C20"/>
    <w:rsid w:val="008B7180"/>
    <w:rsid w:val="008C1E5A"/>
    <w:rsid w:val="009C52A5"/>
    <w:rsid w:val="009E4D09"/>
    <w:rsid w:val="009E5094"/>
    <w:rsid w:val="00A14E35"/>
    <w:rsid w:val="00A56767"/>
    <w:rsid w:val="00A83308"/>
    <w:rsid w:val="00AC4151"/>
    <w:rsid w:val="00AC6E0C"/>
    <w:rsid w:val="00B0731B"/>
    <w:rsid w:val="00B12E94"/>
    <w:rsid w:val="00B743F0"/>
    <w:rsid w:val="00B9379D"/>
    <w:rsid w:val="00BF03EF"/>
    <w:rsid w:val="00C3515F"/>
    <w:rsid w:val="00CA66E4"/>
    <w:rsid w:val="00CD2161"/>
    <w:rsid w:val="00CF0B58"/>
    <w:rsid w:val="00D1625A"/>
    <w:rsid w:val="00D20CF2"/>
    <w:rsid w:val="00DA1CE8"/>
    <w:rsid w:val="00DC4276"/>
    <w:rsid w:val="00DF3804"/>
    <w:rsid w:val="00E3142D"/>
    <w:rsid w:val="00E37052"/>
    <w:rsid w:val="00EA253A"/>
    <w:rsid w:val="00F33BBC"/>
    <w:rsid w:val="00F57C1D"/>
    <w:rsid w:val="00F7458D"/>
    <w:rsid w:val="00F860DC"/>
    <w:rsid w:val="00FA07D3"/>
    <w:rsid w:val="00FA7740"/>
    <w:rsid w:val="00FB62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739DDFC"/>
  <w15:docId w15:val="{BF52D8F5-63A3-4731-A623-DC5824FF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458D"/>
  </w:style>
  <w:style w:type="paragraph" w:styleId="Titolo1">
    <w:name w:val="heading 1"/>
    <w:basedOn w:val="Normale"/>
    <w:next w:val="Normale"/>
    <w:link w:val="Titolo1Carattere"/>
    <w:qFormat/>
    <w:rsid w:val="006F49B8"/>
    <w:pPr>
      <w:keepNext/>
      <w:spacing w:after="0" w:line="360" w:lineRule="auto"/>
      <w:jc w:val="both"/>
      <w:outlineLvl w:val="0"/>
    </w:pPr>
    <w:rPr>
      <w:rFonts w:ascii="Verdana" w:eastAsia="Times New Roman" w:hAnsi="Verdana" w:cs="Times New Roman"/>
      <w:b/>
      <w:bCs/>
      <w:iCs/>
      <w:caps/>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49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49B8"/>
  </w:style>
  <w:style w:type="paragraph" w:styleId="Pidipagina">
    <w:name w:val="footer"/>
    <w:basedOn w:val="Normale"/>
    <w:link w:val="PidipaginaCarattere"/>
    <w:uiPriority w:val="99"/>
    <w:unhideWhenUsed/>
    <w:rsid w:val="006F49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49B8"/>
  </w:style>
  <w:style w:type="paragraph" w:styleId="Testofumetto">
    <w:name w:val="Balloon Text"/>
    <w:basedOn w:val="Normale"/>
    <w:link w:val="TestofumettoCarattere"/>
    <w:uiPriority w:val="99"/>
    <w:semiHidden/>
    <w:unhideWhenUsed/>
    <w:rsid w:val="006F49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9B8"/>
    <w:rPr>
      <w:rFonts w:ascii="Tahoma" w:hAnsi="Tahoma" w:cs="Tahoma"/>
      <w:sz w:val="16"/>
      <w:szCs w:val="16"/>
    </w:rPr>
  </w:style>
  <w:style w:type="character" w:customStyle="1" w:styleId="Titolo1Carattere">
    <w:name w:val="Titolo 1 Carattere"/>
    <w:basedOn w:val="Carpredefinitoparagrafo"/>
    <w:link w:val="Titolo1"/>
    <w:rsid w:val="006F49B8"/>
    <w:rPr>
      <w:rFonts w:ascii="Verdana" w:eastAsia="Times New Roman" w:hAnsi="Verdana" w:cs="Times New Roman"/>
      <w:b/>
      <w:bCs/>
      <w:iCs/>
      <w:caps/>
      <w:szCs w:val="20"/>
      <w:lang w:eastAsia="it-IT"/>
    </w:rPr>
  </w:style>
  <w:style w:type="paragraph" w:styleId="Paragrafoelenco">
    <w:name w:val="List Paragraph"/>
    <w:basedOn w:val="Normale"/>
    <w:uiPriority w:val="34"/>
    <w:qFormat/>
    <w:rsid w:val="006F49B8"/>
    <w:pPr>
      <w:spacing w:after="0" w:line="360" w:lineRule="auto"/>
      <w:ind w:left="720"/>
      <w:contextualSpacing/>
      <w:jc w:val="both"/>
    </w:pPr>
    <w:rPr>
      <w:rFonts w:ascii="Verdana" w:eastAsia="Times New Roman" w:hAnsi="Verdana" w:cs="Times New Roman"/>
      <w:sz w:val="24"/>
      <w:szCs w:val="20"/>
      <w:lang w:eastAsia="it-IT"/>
    </w:rPr>
  </w:style>
  <w:style w:type="paragraph" w:customStyle="1" w:styleId="Default">
    <w:name w:val="Default"/>
    <w:rsid w:val="006F49B8"/>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Mappadocumento">
    <w:name w:val="Document Map"/>
    <w:basedOn w:val="Normale"/>
    <w:link w:val="MappadocumentoCarattere"/>
    <w:uiPriority w:val="99"/>
    <w:semiHidden/>
    <w:unhideWhenUsed/>
    <w:rsid w:val="00E3142D"/>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3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6024">
      <w:bodyDiv w:val="1"/>
      <w:marLeft w:val="0"/>
      <w:marRight w:val="0"/>
      <w:marTop w:val="0"/>
      <w:marBottom w:val="0"/>
      <w:divBdr>
        <w:top w:val="none" w:sz="0" w:space="0" w:color="auto"/>
        <w:left w:val="none" w:sz="0" w:space="0" w:color="auto"/>
        <w:bottom w:val="none" w:sz="0" w:space="0" w:color="auto"/>
        <w:right w:val="none" w:sz="0" w:space="0" w:color="auto"/>
      </w:divBdr>
    </w:div>
    <w:div w:id="14894219">
      <w:bodyDiv w:val="1"/>
      <w:marLeft w:val="0"/>
      <w:marRight w:val="0"/>
      <w:marTop w:val="0"/>
      <w:marBottom w:val="0"/>
      <w:divBdr>
        <w:top w:val="none" w:sz="0" w:space="0" w:color="auto"/>
        <w:left w:val="none" w:sz="0" w:space="0" w:color="auto"/>
        <w:bottom w:val="none" w:sz="0" w:space="0" w:color="auto"/>
        <w:right w:val="none" w:sz="0" w:space="0" w:color="auto"/>
      </w:divBdr>
    </w:div>
    <w:div w:id="173107601">
      <w:bodyDiv w:val="1"/>
      <w:marLeft w:val="0"/>
      <w:marRight w:val="0"/>
      <w:marTop w:val="0"/>
      <w:marBottom w:val="0"/>
      <w:divBdr>
        <w:top w:val="none" w:sz="0" w:space="0" w:color="auto"/>
        <w:left w:val="none" w:sz="0" w:space="0" w:color="auto"/>
        <w:bottom w:val="none" w:sz="0" w:space="0" w:color="auto"/>
        <w:right w:val="none" w:sz="0" w:space="0" w:color="auto"/>
      </w:divBdr>
    </w:div>
    <w:div w:id="412825494">
      <w:bodyDiv w:val="1"/>
      <w:marLeft w:val="0"/>
      <w:marRight w:val="0"/>
      <w:marTop w:val="0"/>
      <w:marBottom w:val="0"/>
      <w:divBdr>
        <w:top w:val="none" w:sz="0" w:space="0" w:color="auto"/>
        <w:left w:val="none" w:sz="0" w:space="0" w:color="auto"/>
        <w:bottom w:val="none" w:sz="0" w:space="0" w:color="auto"/>
        <w:right w:val="none" w:sz="0" w:space="0" w:color="auto"/>
      </w:divBdr>
    </w:div>
    <w:div w:id="869147101">
      <w:bodyDiv w:val="1"/>
      <w:marLeft w:val="0"/>
      <w:marRight w:val="0"/>
      <w:marTop w:val="0"/>
      <w:marBottom w:val="0"/>
      <w:divBdr>
        <w:top w:val="none" w:sz="0" w:space="0" w:color="auto"/>
        <w:left w:val="none" w:sz="0" w:space="0" w:color="auto"/>
        <w:bottom w:val="none" w:sz="0" w:space="0" w:color="auto"/>
        <w:right w:val="none" w:sz="0" w:space="0" w:color="auto"/>
      </w:divBdr>
    </w:div>
    <w:div w:id="911818561">
      <w:bodyDiv w:val="1"/>
      <w:marLeft w:val="0"/>
      <w:marRight w:val="0"/>
      <w:marTop w:val="0"/>
      <w:marBottom w:val="0"/>
      <w:divBdr>
        <w:top w:val="none" w:sz="0" w:space="0" w:color="auto"/>
        <w:left w:val="none" w:sz="0" w:space="0" w:color="auto"/>
        <w:bottom w:val="none" w:sz="0" w:space="0" w:color="auto"/>
        <w:right w:val="none" w:sz="0" w:space="0" w:color="auto"/>
      </w:divBdr>
    </w:div>
    <w:div w:id="1109621217">
      <w:bodyDiv w:val="1"/>
      <w:marLeft w:val="0"/>
      <w:marRight w:val="0"/>
      <w:marTop w:val="0"/>
      <w:marBottom w:val="0"/>
      <w:divBdr>
        <w:top w:val="none" w:sz="0" w:space="0" w:color="auto"/>
        <w:left w:val="none" w:sz="0" w:space="0" w:color="auto"/>
        <w:bottom w:val="none" w:sz="0" w:space="0" w:color="auto"/>
        <w:right w:val="none" w:sz="0" w:space="0" w:color="auto"/>
      </w:divBdr>
    </w:div>
    <w:div w:id="1707868744">
      <w:bodyDiv w:val="1"/>
      <w:marLeft w:val="0"/>
      <w:marRight w:val="0"/>
      <w:marTop w:val="0"/>
      <w:marBottom w:val="0"/>
      <w:divBdr>
        <w:top w:val="none" w:sz="0" w:space="0" w:color="auto"/>
        <w:left w:val="none" w:sz="0" w:space="0" w:color="auto"/>
        <w:bottom w:val="none" w:sz="0" w:space="0" w:color="auto"/>
        <w:right w:val="none" w:sz="0" w:space="0" w:color="auto"/>
      </w:divBdr>
    </w:div>
    <w:div w:id="1755932508">
      <w:bodyDiv w:val="1"/>
      <w:marLeft w:val="0"/>
      <w:marRight w:val="0"/>
      <w:marTop w:val="0"/>
      <w:marBottom w:val="0"/>
      <w:divBdr>
        <w:top w:val="none" w:sz="0" w:space="0" w:color="auto"/>
        <w:left w:val="none" w:sz="0" w:space="0" w:color="auto"/>
        <w:bottom w:val="none" w:sz="0" w:space="0" w:color="auto"/>
        <w:right w:val="none" w:sz="0" w:space="0" w:color="auto"/>
      </w:divBdr>
    </w:div>
    <w:div w:id="1904220120">
      <w:bodyDiv w:val="1"/>
      <w:marLeft w:val="0"/>
      <w:marRight w:val="0"/>
      <w:marTop w:val="0"/>
      <w:marBottom w:val="0"/>
      <w:divBdr>
        <w:top w:val="none" w:sz="0" w:space="0" w:color="auto"/>
        <w:left w:val="none" w:sz="0" w:space="0" w:color="auto"/>
        <w:bottom w:val="none" w:sz="0" w:space="0" w:color="auto"/>
        <w:right w:val="none" w:sz="0" w:space="0" w:color="auto"/>
      </w:divBdr>
    </w:div>
    <w:div w:id="2064598581">
      <w:bodyDiv w:val="1"/>
      <w:marLeft w:val="0"/>
      <w:marRight w:val="0"/>
      <w:marTop w:val="0"/>
      <w:marBottom w:val="0"/>
      <w:divBdr>
        <w:top w:val="none" w:sz="0" w:space="0" w:color="auto"/>
        <w:left w:val="none" w:sz="0" w:space="0" w:color="auto"/>
        <w:bottom w:val="none" w:sz="0" w:space="0" w:color="auto"/>
        <w:right w:val="none" w:sz="0" w:space="0" w:color="auto"/>
      </w:divBdr>
    </w:div>
    <w:div w:id="20678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similiano.facchin\Desktop\PEF\Valsaviore_BerzoDemo\Berzo%20Demo%20PEF%202019_de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solidFill>
                  <a:srgbClr val="FF0000"/>
                </a:solidFill>
              </a:rPr>
              <a:t>Articolazione</a:t>
            </a:r>
            <a:r>
              <a:rPr lang="it-IT" baseline="0">
                <a:solidFill>
                  <a:srgbClr val="FF0000"/>
                </a:solidFill>
              </a:rPr>
              <a:t> della TARI</a:t>
            </a:r>
            <a:endParaRPr lang="it-IT">
              <a:solidFill>
                <a:srgbClr val="FF0000"/>
              </a:solidFill>
            </a:endParaRPr>
          </a:p>
        </c:rich>
      </c:tx>
      <c:overlay val="0"/>
    </c:title>
    <c:autoTitleDeleted val="0"/>
    <c:view3D>
      <c:rotX val="60"/>
      <c:rotY val="0"/>
      <c:depthPercent val="100"/>
      <c:rAngAx val="0"/>
      <c:perspective val="0"/>
    </c:view3D>
    <c:floor>
      <c:thickness val="0"/>
    </c:floor>
    <c:sideWall>
      <c:thickness val="0"/>
    </c:sideWall>
    <c:backWall>
      <c:thickness val="0"/>
    </c:backWall>
    <c:plotArea>
      <c:layout/>
      <c:pie3DChart>
        <c:varyColors val="1"/>
        <c:ser>
          <c:idx val="0"/>
          <c:order val="0"/>
          <c:explosion val="15"/>
          <c:dPt>
            <c:idx val="0"/>
            <c:bubble3D val="0"/>
            <c:spPr>
              <a:solidFill>
                <a:srgbClr val="00B050"/>
              </a:solidFill>
            </c:spPr>
            <c:extLst>
              <c:ext xmlns:c16="http://schemas.microsoft.com/office/drawing/2014/chart" uri="{C3380CC4-5D6E-409C-BE32-E72D297353CC}">
                <c16:uniqueId val="{00000000-7A4E-4131-9A60-9A46481B2ABC}"/>
              </c:ext>
            </c:extLst>
          </c:dPt>
          <c:dPt>
            <c:idx val="1"/>
            <c:bubble3D val="0"/>
            <c:spPr>
              <a:solidFill>
                <a:srgbClr val="92D050"/>
              </a:solidFill>
            </c:spPr>
            <c:extLst>
              <c:ext xmlns:c16="http://schemas.microsoft.com/office/drawing/2014/chart" uri="{C3380CC4-5D6E-409C-BE32-E72D297353CC}">
                <c16:uniqueId val="{00000001-7A4E-4131-9A60-9A46481B2ABC}"/>
              </c:ext>
            </c:extLst>
          </c:dPt>
          <c:dPt>
            <c:idx val="2"/>
            <c:bubble3D val="0"/>
            <c:spPr>
              <a:solidFill>
                <a:schemeClr val="accent6">
                  <a:lumMod val="75000"/>
                </a:schemeClr>
              </a:solidFill>
            </c:spPr>
            <c:extLst>
              <c:ext xmlns:c16="http://schemas.microsoft.com/office/drawing/2014/chart" uri="{C3380CC4-5D6E-409C-BE32-E72D297353CC}">
                <c16:uniqueId val="{00000002-7A4E-4131-9A60-9A46481B2ABC}"/>
              </c:ext>
            </c:extLst>
          </c:dPt>
          <c:dPt>
            <c:idx val="3"/>
            <c:bubble3D val="0"/>
            <c:spPr>
              <a:solidFill>
                <a:srgbClr val="FFFF00"/>
              </a:solidFill>
            </c:spPr>
            <c:extLst>
              <c:ext xmlns:c16="http://schemas.microsoft.com/office/drawing/2014/chart" uri="{C3380CC4-5D6E-409C-BE32-E72D297353CC}">
                <c16:uniqueId val="{00000003-7A4E-4131-9A60-9A46481B2ABC}"/>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sintesi!$A$7:$A$10</c:f>
              <c:strCache>
                <c:ptCount val="4"/>
                <c:pt idx="0">
                  <c:v>UD copertura costi fissi</c:v>
                </c:pt>
                <c:pt idx="1">
                  <c:v>UD copertura costi variabili</c:v>
                </c:pt>
                <c:pt idx="2">
                  <c:v>UND copertura costi fissi</c:v>
                </c:pt>
                <c:pt idx="3">
                  <c:v>UND copertura costi variabili</c:v>
                </c:pt>
              </c:strCache>
            </c:strRef>
          </c:cat>
          <c:val>
            <c:numRef>
              <c:f>sintesi!$B$7:$B$10</c:f>
              <c:numCache>
                <c:formatCode>_("€"* #,##0.00_);_("€"* \(#,##0.00\);_("€"* "-"??_);_(@_)</c:formatCode>
                <c:ptCount val="4"/>
                <c:pt idx="0">
                  <c:v>95332.661294369391</c:v>
                </c:pt>
                <c:pt idx="1">
                  <c:v>29852.992584739379</c:v>
                </c:pt>
                <c:pt idx="2">
                  <c:v>13863.898705630601</c:v>
                </c:pt>
                <c:pt idx="3">
                  <c:v>76622.007415260508</c:v>
                </c:pt>
              </c:numCache>
            </c:numRef>
          </c:val>
          <c:extLst>
            <c:ext xmlns:c16="http://schemas.microsoft.com/office/drawing/2014/chart" uri="{C3380CC4-5D6E-409C-BE32-E72D297353CC}">
              <c16:uniqueId val="{00000004-7A4E-4131-9A60-9A46481B2ABC}"/>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spPr>
    <a:scene3d>
      <a:camera prst="orthographicFront"/>
      <a:lightRig rig="threePt" dir="t"/>
    </a:scene3d>
    <a:sp3d prstMaterial="metal"/>
  </c:sp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2881</Words>
  <Characters>16422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mirko.bellina</dc:creator>
  <cp:lastModifiedBy>Fabrizio Orizio</cp:lastModifiedBy>
  <cp:revision>4</cp:revision>
  <dcterms:created xsi:type="dcterms:W3CDTF">2019-03-18T14:12:00Z</dcterms:created>
  <dcterms:modified xsi:type="dcterms:W3CDTF">2019-03-18T14:19:00Z</dcterms:modified>
</cp:coreProperties>
</file>